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48D" w:rsidRDefault="007D348D">
      <w:pPr>
        <w:spacing w:line="360" w:lineRule="auto"/>
        <w:jc w:val="center"/>
        <w:rPr>
          <w:rFonts w:ascii="楷体" w:eastAsia="楷体" w:hAnsi="楷体" w:cs="楷体"/>
          <w:sz w:val="44"/>
          <w:szCs w:val="44"/>
        </w:rPr>
      </w:pPr>
    </w:p>
    <w:p w:rsidR="007D348D" w:rsidRDefault="007D348D">
      <w:pPr>
        <w:spacing w:line="360" w:lineRule="auto"/>
        <w:jc w:val="center"/>
        <w:rPr>
          <w:rFonts w:ascii="楷体" w:eastAsia="楷体" w:hAnsi="楷体" w:cs="楷体"/>
          <w:sz w:val="44"/>
          <w:szCs w:val="44"/>
        </w:rPr>
      </w:pPr>
    </w:p>
    <w:p w:rsidR="007D348D" w:rsidRDefault="007D348D">
      <w:pPr>
        <w:spacing w:line="360" w:lineRule="auto"/>
        <w:jc w:val="center"/>
        <w:rPr>
          <w:rFonts w:ascii="楷体" w:eastAsia="楷体" w:hAnsi="楷体" w:cs="楷体"/>
          <w:sz w:val="44"/>
          <w:szCs w:val="44"/>
        </w:rPr>
      </w:pPr>
    </w:p>
    <w:p w:rsidR="007D348D" w:rsidRDefault="00E707EA">
      <w:pPr>
        <w:spacing w:line="360" w:lineRule="auto"/>
        <w:jc w:val="center"/>
        <w:rPr>
          <w:rFonts w:ascii="黑体" w:eastAsia="黑体" w:hAnsi="黑体"/>
          <w:sz w:val="44"/>
          <w:szCs w:val="44"/>
        </w:rPr>
      </w:pPr>
      <w:r>
        <w:rPr>
          <w:rFonts w:ascii="黑体" w:eastAsia="黑体" w:hAnsi="黑体" w:hint="eastAsia"/>
          <w:sz w:val="44"/>
          <w:szCs w:val="44"/>
        </w:rPr>
        <w:t>制造业创新中心知识产权指南</w:t>
      </w:r>
    </w:p>
    <w:p w:rsidR="007D348D" w:rsidRDefault="007D348D">
      <w:pPr>
        <w:spacing w:line="360" w:lineRule="auto"/>
        <w:jc w:val="center"/>
        <w:rPr>
          <w:rFonts w:ascii="楷体" w:eastAsia="楷体" w:hAnsi="楷体" w:cs="楷体"/>
          <w:sz w:val="28"/>
          <w:szCs w:val="28"/>
        </w:rPr>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7D348D">
      <w:pPr>
        <w:spacing w:line="360" w:lineRule="auto"/>
      </w:pPr>
    </w:p>
    <w:p w:rsidR="007D348D" w:rsidRDefault="00E707EA">
      <w:pPr>
        <w:spacing w:line="360" w:lineRule="auto"/>
        <w:jc w:val="center"/>
        <w:rPr>
          <w:rFonts w:ascii="楷体" w:eastAsia="楷体" w:hAnsi="楷体" w:cs="楷体"/>
          <w:sz w:val="32"/>
          <w:szCs w:val="32"/>
        </w:rPr>
      </w:pPr>
      <w:r>
        <w:rPr>
          <w:rFonts w:ascii="楷体" w:eastAsia="楷体" w:hAnsi="楷体" w:cs="楷体" w:hint="eastAsia"/>
          <w:sz w:val="32"/>
          <w:szCs w:val="32"/>
        </w:rPr>
        <w:t>2016</w:t>
      </w:r>
      <w:r>
        <w:rPr>
          <w:rFonts w:ascii="楷体" w:eastAsia="楷体" w:hAnsi="楷体" w:cs="楷体" w:hint="eastAsia"/>
          <w:sz w:val="32"/>
          <w:szCs w:val="32"/>
        </w:rPr>
        <w:t>年</w:t>
      </w:r>
      <w:r>
        <w:rPr>
          <w:rFonts w:ascii="楷体" w:eastAsia="楷体" w:hAnsi="楷体" w:cs="楷体" w:hint="eastAsia"/>
          <w:sz w:val="32"/>
          <w:szCs w:val="32"/>
        </w:rPr>
        <w:t>10</w:t>
      </w:r>
      <w:r>
        <w:rPr>
          <w:rFonts w:ascii="楷体" w:eastAsia="楷体" w:hAnsi="楷体" w:cs="楷体" w:hint="eastAsia"/>
          <w:sz w:val="32"/>
          <w:szCs w:val="32"/>
        </w:rPr>
        <w:t>月</w:t>
      </w:r>
    </w:p>
    <w:p w:rsidR="007D348D" w:rsidRDefault="007D348D">
      <w:pPr>
        <w:spacing w:line="360" w:lineRule="auto"/>
        <w:jc w:val="center"/>
        <w:rPr>
          <w:rFonts w:ascii="宋体" w:hAnsi="宋体" w:cs="宋体"/>
          <w:b/>
          <w:bCs/>
          <w:sz w:val="32"/>
          <w:szCs w:val="32"/>
        </w:rPr>
      </w:pPr>
    </w:p>
    <w:p w:rsidR="007D348D" w:rsidRDefault="007D348D">
      <w:pPr>
        <w:spacing w:line="360" w:lineRule="auto"/>
        <w:jc w:val="center"/>
        <w:rPr>
          <w:rFonts w:ascii="宋体" w:hAnsi="宋体" w:cs="宋体" w:hint="eastAsia"/>
          <w:b/>
          <w:bCs/>
          <w:sz w:val="32"/>
          <w:szCs w:val="32"/>
        </w:rPr>
      </w:pPr>
    </w:p>
    <w:p w:rsidR="00E4205A" w:rsidRDefault="00E4205A">
      <w:pPr>
        <w:spacing w:line="360" w:lineRule="auto"/>
        <w:jc w:val="center"/>
        <w:rPr>
          <w:rFonts w:ascii="宋体" w:hAnsi="宋体" w:cs="宋体" w:hint="eastAsia"/>
          <w:b/>
          <w:bCs/>
          <w:sz w:val="32"/>
          <w:szCs w:val="32"/>
        </w:rPr>
      </w:pPr>
    </w:p>
    <w:p w:rsidR="00E4205A" w:rsidRDefault="00E4205A">
      <w:pPr>
        <w:spacing w:line="360" w:lineRule="auto"/>
        <w:jc w:val="center"/>
        <w:rPr>
          <w:rFonts w:ascii="宋体" w:hAnsi="宋体" w:cs="宋体" w:hint="eastAsia"/>
          <w:b/>
          <w:bCs/>
          <w:sz w:val="32"/>
          <w:szCs w:val="32"/>
        </w:rPr>
      </w:pPr>
    </w:p>
    <w:p w:rsidR="00E4205A" w:rsidRDefault="00E4205A">
      <w:pPr>
        <w:spacing w:line="360" w:lineRule="auto"/>
        <w:jc w:val="center"/>
        <w:rPr>
          <w:rFonts w:ascii="宋体" w:hAnsi="宋体" w:cs="宋体"/>
          <w:b/>
          <w:bCs/>
          <w:sz w:val="32"/>
          <w:szCs w:val="32"/>
        </w:rPr>
      </w:pPr>
    </w:p>
    <w:p w:rsidR="007D348D" w:rsidRDefault="00E707EA">
      <w:pPr>
        <w:pStyle w:val="10"/>
        <w:tabs>
          <w:tab w:val="right" w:leader="dot" w:pos="8306"/>
        </w:tabs>
        <w:jc w:val="center"/>
        <w:rPr>
          <w:rFonts w:ascii="黑体" w:eastAsia="黑体" w:hAnsi="黑体"/>
          <w:sz w:val="32"/>
          <w:szCs w:val="32"/>
        </w:rPr>
      </w:pPr>
      <w:r>
        <w:rPr>
          <w:rFonts w:ascii="黑体" w:eastAsia="黑体" w:hAnsi="黑体" w:hint="eastAsia"/>
          <w:sz w:val="32"/>
          <w:szCs w:val="32"/>
        </w:rPr>
        <w:lastRenderedPageBreak/>
        <w:t>目</w:t>
      </w:r>
      <w:r>
        <w:rPr>
          <w:rFonts w:ascii="黑体" w:eastAsia="黑体" w:hAnsi="黑体" w:hint="eastAsia"/>
          <w:sz w:val="32"/>
          <w:szCs w:val="32"/>
        </w:rPr>
        <w:t xml:space="preserve"> </w:t>
      </w:r>
      <w:r>
        <w:rPr>
          <w:rFonts w:ascii="黑体" w:eastAsia="黑体" w:hAnsi="黑体" w:hint="eastAsia"/>
          <w:sz w:val="32"/>
          <w:szCs w:val="32"/>
        </w:rPr>
        <w:t>录</w:t>
      </w:r>
    </w:p>
    <w:p w:rsidR="007D348D" w:rsidRDefault="007D348D"/>
    <w:p w:rsidR="007D348D" w:rsidRDefault="007D348D">
      <w:pPr>
        <w:pStyle w:val="10"/>
        <w:tabs>
          <w:tab w:val="right" w:leader="dot" w:pos="8306"/>
        </w:tabs>
        <w:spacing w:line="360" w:lineRule="auto"/>
        <w:rPr>
          <w:rFonts w:asciiTheme="minorEastAsia" w:eastAsiaTheme="minorEastAsia" w:hAnsiTheme="minorEastAsia" w:cstheme="minorEastAsia"/>
          <w:sz w:val="24"/>
        </w:rPr>
      </w:pPr>
      <w:r w:rsidRPr="007D348D">
        <w:rPr>
          <w:rFonts w:asciiTheme="minorEastAsia" w:eastAsiaTheme="minorEastAsia" w:hAnsiTheme="minorEastAsia" w:cstheme="minorEastAsia" w:hint="eastAsia"/>
          <w:b/>
          <w:bCs/>
          <w:sz w:val="24"/>
        </w:rPr>
        <w:fldChar w:fldCharType="begin"/>
      </w:r>
      <w:r w:rsidR="00E707EA">
        <w:rPr>
          <w:rFonts w:asciiTheme="minorEastAsia" w:eastAsiaTheme="minorEastAsia" w:hAnsiTheme="minorEastAsia" w:cstheme="minorEastAsia" w:hint="eastAsia"/>
          <w:b/>
          <w:bCs/>
          <w:sz w:val="24"/>
        </w:rPr>
        <w:instrText xml:space="preserve">TOC \o "1-3" \h \u </w:instrText>
      </w:r>
      <w:r w:rsidRPr="007D348D">
        <w:rPr>
          <w:rFonts w:asciiTheme="minorEastAsia" w:eastAsiaTheme="minorEastAsia" w:hAnsiTheme="minorEastAsia" w:cstheme="minorEastAsia" w:hint="eastAsia"/>
          <w:b/>
          <w:bCs/>
          <w:sz w:val="24"/>
        </w:rPr>
        <w:fldChar w:fldCharType="separate"/>
      </w:r>
    </w:p>
    <w:p w:rsidR="007D348D" w:rsidRDefault="007D348D">
      <w:pPr>
        <w:pStyle w:val="20"/>
        <w:tabs>
          <w:tab w:val="right" w:leader="dot" w:pos="8306"/>
        </w:tabs>
        <w:spacing w:line="360" w:lineRule="auto"/>
        <w:rPr>
          <w:rFonts w:asciiTheme="minorEastAsia" w:eastAsiaTheme="minorEastAsia" w:hAnsiTheme="minorEastAsia" w:cstheme="minorEastAsia"/>
          <w:sz w:val="24"/>
        </w:rPr>
      </w:pPr>
      <w:hyperlink w:anchor="_Toc17196" w:history="1">
        <w:r w:rsidR="00E707EA">
          <w:rPr>
            <w:rFonts w:asciiTheme="minorEastAsia" w:eastAsiaTheme="minorEastAsia" w:hAnsiTheme="minorEastAsia" w:cstheme="minorEastAsia" w:hint="eastAsia"/>
            <w:sz w:val="24"/>
          </w:rPr>
          <w:t>1</w:t>
        </w:r>
        <w:r w:rsidR="00E707EA">
          <w:rPr>
            <w:rFonts w:asciiTheme="minorEastAsia" w:eastAsiaTheme="minorEastAsia" w:hAnsiTheme="minorEastAsia" w:cstheme="minorEastAsia" w:hint="eastAsia"/>
            <w:sz w:val="24"/>
          </w:rPr>
          <w:t>范围</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_Toc17196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rsidR="007D348D" w:rsidRDefault="007D348D">
      <w:pPr>
        <w:pStyle w:val="20"/>
        <w:tabs>
          <w:tab w:val="right" w:leader="dot" w:pos="8306"/>
        </w:tabs>
        <w:spacing w:line="360" w:lineRule="auto"/>
        <w:rPr>
          <w:rFonts w:asciiTheme="minorEastAsia" w:eastAsiaTheme="minorEastAsia" w:hAnsiTheme="minorEastAsia" w:cstheme="minorEastAsia"/>
          <w:sz w:val="24"/>
        </w:rPr>
      </w:pPr>
      <w:hyperlink w:anchor="_Toc12519" w:history="1">
        <w:r w:rsidR="00E707EA">
          <w:rPr>
            <w:rFonts w:asciiTheme="minorEastAsia" w:eastAsiaTheme="minorEastAsia" w:hAnsiTheme="minorEastAsia" w:cstheme="minorEastAsia" w:hint="eastAsia"/>
            <w:sz w:val="24"/>
          </w:rPr>
          <w:t>2</w:t>
        </w:r>
        <w:r w:rsidR="00E707EA">
          <w:rPr>
            <w:rFonts w:asciiTheme="minorEastAsia" w:eastAsiaTheme="minorEastAsia" w:hAnsiTheme="minorEastAsia" w:cstheme="minorEastAsia" w:hint="eastAsia"/>
            <w:sz w:val="24"/>
          </w:rPr>
          <w:t>引用文件</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_Toc12519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rsidR="007D348D" w:rsidRDefault="007D348D">
      <w:pPr>
        <w:pStyle w:val="20"/>
        <w:tabs>
          <w:tab w:val="right" w:leader="dot" w:pos="8306"/>
        </w:tabs>
        <w:spacing w:line="360" w:lineRule="auto"/>
        <w:rPr>
          <w:rFonts w:asciiTheme="minorEastAsia" w:eastAsiaTheme="minorEastAsia" w:hAnsiTheme="minorEastAsia" w:cstheme="minorEastAsia"/>
          <w:sz w:val="24"/>
        </w:rPr>
      </w:pPr>
      <w:hyperlink w:anchor="_Toc11585" w:history="1">
        <w:r w:rsidR="00E707EA">
          <w:rPr>
            <w:rFonts w:asciiTheme="minorEastAsia" w:eastAsiaTheme="minorEastAsia" w:hAnsiTheme="minorEastAsia" w:cstheme="minorEastAsia" w:hint="eastAsia"/>
            <w:sz w:val="24"/>
          </w:rPr>
          <w:t>3</w:t>
        </w:r>
        <w:r w:rsidR="00E707EA">
          <w:rPr>
            <w:rFonts w:asciiTheme="minorEastAsia" w:eastAsiaTheme="minorEastAsia" w:hAnsiTheme="minorEastAsia" w:cstheme="minorEastAsia" w:hint="eastAsia"/>
            <w:sz w:val="24"/>
          </w:rPr>
          <w:t>概念</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_Toc11585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20737" w:history="1">
        <w:r w:rsidR="00E707EA">
          <w:rPr>
            <w:rFonts w:asciiTheme="minorEastAsia" w:eastAsiaTheme="minorEastAsia" w:hAnsiTheme="minorEastAsia" w:cstheme="minorEastAsia" w:hint="eastAsia"/>
            <w:sz w:val="24"/>
          </w:rPr>
          <w:t>3.1</w:t>
        </w:r>
        <w:r w:rsidR="00E707EA">
          <w:rPr>
            <w:rFonts w:asciiTheme="minorEastAsia" w:eastAsiaTheme="minorEastAsia" w:hAnsiTheme="minorEastAsia" w:cstheme="minorEastAsia" w:hint="eastAsia"/>
            <w:sz w:val="24"/>
          </w:rPr>
          <w:t>知识产权</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_Toc20737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7945" w:history="1">
        <w:r w:rsidR="00E707EA">
          <w:rPr>
            <w:rFonts w:asciiTheme="minorEastAsia" w:eastAsiaTheme="minorEastAsia" w:hAnsiTheme="minorEastAsia" w:cstheme="minorEastAsia" w:hint="eastAsia"/>
            <w:sz w:val="24"/>
          </w:rPr>
          <w:t>3.2</w:t>
        </w:r>
        <w:r w:rsidR="00E707EA">
          <w:rPr>
            <w:rFonts w:asciiTheme="minorEastAsia" w:eastAsiaTheme="minorEastAsia" w:hAnsiTheme="minorEastAsia" w:cstheme="minorEastAsia" w:hint="eastAsia"/>
            <w:sz w:val="24"/>
          </w:rPr>
          <w:t>知识产权运用</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_Toc7945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15881" w:history="1">
        <w:r w:rsidR="00E707EA">
          <w:rPr>
            <w:rFonts w:asciiTheme="minorEastAsia" w:eastAsiaTheme="minorEastAsia" w:hAnsiTheme="minorEastAsia" w:cstheme="minorEastAsia" w:hint="eastAsia"/>
            <w:sz w:val="24"/>
          </w:rPr>
          <w:t>3.3</w:t>
        </w:r>
        <w:r w:rsidR="00E707EA">
          <w:rPr>
            <w:rFonts w:asciiTheme="minorEastAsia" w:eastAsiaTheme="minorEastAsia" w:hAnsiTheme="minorEastAsia" w:cstheme="minorEastAsia" w:hint="eastAsia"/>
            <w:sz w:val="24"/>
          </w:rPr>
          <w:t>既有知识产权</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_Toc15881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20"/>
        <w:tabs>
          <w:tab w:val="right" w:leader="dot" w:pos="8306"/>
        </w:tabs>
        <w:spacing w:line="360" w:lineRule="auto"/>
        <w:rPr>
          <w:rFonts w:asciiTheme="minorEastAsia" w:eastAsiaTheme="minorEastAsia" w:hAnsiTheme="minorEastAsia" w:cstheme="minorEastAsia"/>
          <w:sz w:val="24"/>
        </w:rPr>
      </w:pPr>
      <w:hyperlink w:anchor="_Toc26356" w:history="1">
        <w:r w:rsidR="00E707EA">
          <w:rPr>
            <w:rFonts w:asciiTheme="minorEastAsia" w:eastAsiaTheme="minorEastAsia" w:hAnsiTheme="minorEastAsia" w:cstheme="minorEastAsia" w:hint="eastAsia"/>
            <w:sz w:val="24"/>
          </w:rPr>
          <w:t>4</w:t>
        </w:r>
        <w:r w:rsidR="00E707EA">
          <w:rPr>
            <w:rFonts w:asciiTheme="minorEastAsia" w:eastAsiaTheme="minorEastAsia" w:hAnsiTheme="minorEastAsia" w:cstheme="minorEastAsia" w:hint="eastAsia"/>
            <w:sz w:val="24"/>
          </w:rPr>
          <w:t>基本要求</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_Toc26356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14046" w:history="1">
        <w:r w:rsidR="00E707EA">
          <w:rPr>
            <w:rFonts w:asciiTheme="minorEastAsia" w:eastAsiaTheme="minorEastAsia" w:hAnsiTheme="minorEastAsia" w:cstheme="minorEastAsia" w:hint="eastAsia"/>
            <w:sz w:val="24"/>
          </w:rPr>
          <w:t>4.1</w:t>
        </w:r>
        <w:r w:rsidR="00E707EA">
          <w:rPr>
            <w:rFonts w:asciiTheme="minorEastAsia" w:eastAsiaTheme="minorEastAsia" w:hAnsiTheme="minorEastAsia" w:cstheme="minorEastAsia" w:hint="eastAsia"/>
            <w:sz w:val="24"/>
          </w:rPr>
          <w:t>健全管理</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_Toc14046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4559" w:history="1">
        <w:r w:rsidR="00E707EA">
          <w:rPr>
            <w:rFonts w:asciiTheme="minorEastAsia" w:eastAsiaTheme="minorEastAsia" w:hAnsiTheme="minorEastAsia" w:cstheme="minorEastAsia" w:hint="eastAsia"/>
            <w:sz w:val="24"/>
          </w:rPr>
          <w:t>4.2</w:t>
        </w:r>
        <w:r w:rsidR="00E707EA">
          <w:rPr>
            <w:rFonts w:asciiTheme="minorEastAsia" w:eastAsiaTheme="minorEastAsia" w:hAnsiTheme="minorEastAsia" w:cstheme="minorEastAsia" w:hint="eastAsia"/>
            <w:sz w:val="24"/>
          </w:rPr>
          <w:t>强化保护</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_Toc4559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24798" w:history="1">
        <w:r w:rsidR="00E707EA">
          <w:rPr>
            <w:rFonts w:asciiTheme="minorEastAsia" w:eastAsiaTheme="minorEastAsia" w:hAnsiTheme="minorEastAsia" w:cstheme="minorEastAsia" w:hint="eastAsia"/>
            <w:sz w:val="24"/>
          </w:rPr>
          <w:t>4.3</w:t>
        </w:r>
        <w:r w:rsidR="00E707EA">
          <w:rPr>
            <w:rFonts w:asciiTheme="minorEastAsia" w:eastAsiaTheme="minorEastAsia" w:hAnsiTheme="minorEastAsia" w:cstheme="minorEastAsia" w:hint="eastAsia"/>
            <w:sz w:val="24"/>
          </w:rPr>
          <w:t>转移转化</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_Toc24798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21562" w:history="1">
        <w:r w:rsidR="00E707EA">
          <w:rPr>
            <w:rFonts w:asciiTheme="minorEastAsia" w:eastAsiaTheme="minorEastAsia" w:hAnsiTheme="minorEastAsia" w:cstheme="minorEastAsia" w:hint="eastAsia"/>
            <w:sz w:val="24"/>
          </w:rPr>
          <w:t>4.4</w:t>
        </w:r>
        <w:r w:rsidR="00E707EA">
          <w:rPr>
            <w:rFonts w:asciiTheme="minorEastAsia" w:eastAsiaTheme="minorEastAsia" w:hAnsiTheme="minorEastAsia" w:cstheme="minorEastAsia" w:hint="eastAsia"/>
            <w:sz w:val="24"/>
          </w:rPr>
          <w:t>支撑服务</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w:instrText>
        </w:r>
        <w:r w:rsidR="00E707EA">
          <w:rPr>
            <w:rFonts w:asciiTheme="minorEastAsia" w:eastAsiaTheme="minorEastAsia" w:hAnsiTheme="minorEastAsia" w:cstheme="minorEastAsia" w:hint="eastAsia"/>
            <w:sz w:val="24"/>
          </w:rPr>
          <w:instrText xml:space="preserve">1562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20"/>
        <w:tabs>
          <w:tab w:val="right" w:leader="dot" w:pos="8306"/>
        </w:tabs>
        <w:spacing w:line="360" w:lineRule="auto"/>
        <w:rPr>
          <w:rFonts w:asciiTheme="minorEastAsia" w:eastAsiaTheme="minorEastAsia" w:hAnsiTheme="minorEastAsia" w:cstheme="minorEastAsia"/>
          <w:sz w:val="24"/>
        </w:rPr>
      </w:pPr>
      <w:hyperlink w:anchor="_Toc6138" w:history="1">
        <w:r w:rsidR="00E707EA">
          <w:rPr>
            <w:rFonts w:asciiTheme="minorEastAsia" w:eastAsiaTheme="minorEastAsia" w:hAnsiTheme="minorEastAsia" w:cstheme="minorEastAsia" w:hint="eastAsia"/>
            <w:sz w:val="24"/>
          </w:rPr>
          <w:t>5</w:t>
        </w:r>
        <w:r w:rsidR="00E707EA">
          <w:rPr>
            <w:rFonts w:asciiTheme="minorEastAsia" w:eastAsiaTheme="minorEastAsia" w:hAnsiTheme="minorEastAsia" w:cstheme="minorEastAsia" w:hint="eastAsia"/>
            <w:sz w:val="24"/>
          </w:rPr>
          <w:t>框架与内容</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_Toc6138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29932" w:history="1">
        <w:r w:rsidR="00E707EA">
          <w:rPr>
            <w:rFonts w:asciiTheme="minorEastAsia" w:eastAsiaTheme="minorEastAsia" w:hAnsiTheme="minorEastAsia" w:cstheme="minorEastAsia" w:hint="eastAsia"/>
            <w:sz w:val="24"/>
          </w:rPr>
          <w:t>5.1</w:t>
        </w:r>
        <w:r w:rsidR="00E707EA">
          <w:rPr>
            <w:rFonts w:asciiTheme="minorEastAsia" w:eastAsiaTheme="minorEastAsia" w:hAnsiTheme="minorEastAsia" w:cstheme="minorEastAsia" w:hint="eastAsia"/>
            <w:sz w:val="24"/>
          </w:rPr>
          <w:t>知识产权管理</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_Toc29932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8305" w:history="1">
        <w:r w:rsidR="00E707EA">
          <w:rPr>
            <w:rFonts w:asciiTheme="minorEastAsia" w:eastAsiaTheme="minorEastAsia" w:hAnsiTheme="minorEastAsia" w:cstheme="minorEastAsia" w:hint="eastAsia"/>
            <w:sz w:val="24"/>
          </w:rPr>
          <w:t>5.2</w:t>
        </w:r>
        <w:r w:rsidR="00E707EA">
          <w:rPr>
            <w:rFonts w:asciiTheme="minorEastAsia" w:eastAsiaTheme="minorEastAsia" w:hAnsiTheme="minorEastAsia" w:cstheme="minorEastAsia" w:hint="eastAsia"/>
            <w:sz w:val="24"/>
          </w:rPr>
          <w:t>知识产权保护</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_Toc8305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26117" w:history="1">
        <w:r w:rsidR="00E707EA">
          <w:rPr>
            <w:rFonts w:asciiTheme="minorEastAsia" w:eastAsiaTheme="minorEastAsia" w:hAnsiTheme="minorEastAsia" w:cstheme="minorEastAsia" w:hint="eastAsia"/>
            <w:sz w:val="24"/>
          </w:rPr>
          <w:t>5.3</w:t>
        </w:r>
        <w:r w:rsidR="00E707EA">
          <w:rPr>
            <w:rFonts w:asciiTheme="minorEastAsia" w:eastAsiaTheme="minorEastAsia" w:hAnsiTheme="minorEastAsia" w:cstheme="minorEastAsia" w:hint="eastAsia"/>
            <w:sz w:val="24"/>
          </w:rPr>
          <w:t>知识产权转移转化</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_Toc26117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fldChar w:fldCharType="end"/>
        </w:r>
      </w:hyperlink>
    </w:p>
    <w:p w:rsidR="007D348D" w:rsidRDefault="007D348D">
      <w:pPr>
        <w:pStyle w:val="30"/>
        <w:tabs>
          <w:tab w:val="right" w:leader="dot" w:pos="8306"/>
        </w:tabs>
        <w:spacing w:line="360" w:lineRule="auto"/>
        <w:rPr>
          <w:rFonts w:asciiTheme="minorEastAsia" w:eastAsiaTheme="minorEastAsia" w:hAnsiTheme="minorEastAsia" w:cstheme="minorEastAsia"/>
          <w:sz w:val="24"/>
        </w:rPr>
      </w:pPr>
      <w:hyperlink w:anchor="_Toc20307" w:history="1">
        <w:r w:rsidR="00E707EA">
          <w:rPr>
            <w:rFonts w:asciiTheme="minorEastAsia" w:eastAsiaTheme="minorEastAsia" w:hAnsiTheme="minorEastAsia" w:cstheme="minorEastAsia" w:hint="eastAsia"/>
            <w:sz w:val="24"/>
          </w:rPr>
          <w:t>5.4</w:t>
        </w:r>
        <w:r w:rsidR="00E707EA">
          <w:rPr>
            <w:rFonts w:asciiTheme="minorEastAsia" w:eastAsiaTheme="minorEastAsia" w:hAnsiTheme="minorEastAsia" w:cstheme="minorEastAsia" w:hint="eastAsia"/>
            <w:sz w:val="24"/>
          </w:rPr>
          <w:t>知识产权支撑服务</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_Toc20307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fldChar w:fldCharType="end"/>
        </w:r>
      </w:hyperlink>
    </w:p>
    <w:p w:rsidR="007D348D" w:rsidRDefault="007D348D">
      <w:pPr>
        <w:pStyle w:val="20"/>
        <w:tabs>
          <w:tab w:val="right" w:leader="dot" w:pos="8306"/>
        </w:tabs>
        <w:spacing w:line="360" w:lineRule="auto"/>
        <w:rPr>
          <w:rFonts w:asciiTheme="minorEastAsia" w:eastAsiaTheme="minorEastAsia" w:hAnsiTheme="minorEastAsia" w:cstheme="minorEastAsia"/>
          <w:sz w:val="24"/>
        </w:rPr>
      </w:pPr>
      <w:hyperlink w:anchor="_Toc28155" w:history="1">
        <w:r w:rsidR="00E707EA">
          <w:rPr>
            <w:rFonts w:asciiTheme="minorEastAsia" w:eastAsiaTheme="minorEastAsia" w:hAnsiTheme="minorEastAsia" w:cstheme="minorEastAsia" w:hint="eastAsia"/>
            <w:sz w:val="24"/>
          </w:rPr>
          <w:t>6</w:t>
        </w:r>
        <w:r w:rsidR="00E707EA">
          <w:rPr>
            <w:rFonts w:asciiTheme="minorEastAsia" w:eastAsiaTheme="minorEastAsia" w:hAnsiTheme="minorEastAsia" w:cstheme="minorEastAsia" w:hint="eastAsia"/>
            <w:sz w:val="24"/>
          </w:rPr>
          <w:t>评价与改进</w:t>
        </w:r>
        <w:r w:rsidR="00E707EA">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sidR="00E707EA">
          <w:rPr>
            <w:rFonts w:asciiTheme="minorEastAsia" w:eastAsiaTheme="minorEastAsia" w:hAnsiTheme="minorEastAsia" w:cstheme="minorEastAsia" w:hint="eastAsia"/>
            <w:sz w:val="24"/>
          </w:rPr>
          <w:instrText xml:space="preserve"> PAGEREF _Toc28155 </w:instrText>
        </w:r>
        <w:r>
          <w:rPr>
            <w:rFonts w:asciiTheme="minorEastAsia" w:eastAsiaTheme="minorEastAsia" w:hAnsiTheme="minorEastAsia" w:cstheme="minorEastAsia" w:hint="eastAsia"/>
            <w:sz w:val="24"/>
          </w:rPr>
          <w:fldChar w:fldCharType="separate"/>
        </w:r>
        <w:r w:rsidR="00E707EA">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fldChar w:fldCharType="end"/>
        </w:r>
      </w:hyperlink>
    </w:p>
    <w:p w:rsidR="007D348D" w:rsidRDefault="007D348D">
      <w:pPr>
        <w:spacing w:line="36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4"/>
        </w:rPr>
        <w:fldChar w:fldCharType="end"/>
      </w:r>
    </w:p>
    <w:p w:rsidR="007D348D" w:rsidRDefault="007D348D">
      <w:pPr>
        <w:pStyle w:val="1"/>
        <w:jc w:val="center"/>
        <w:rPr>
          <w:rFonts w:asciiTheme="minorEastAsia" w:eastAsiaTheme="minorEastAsia" w:hAnsiTheme="minorEastAsia" w:cstheme="minorEastAsia"/>
          <w:sz w:val="28"/>
          <w:szCs w:val="28"/>
        </w:rPr>
      </w:pPr>
    </w:p>
    <w:p w:rsidR="007D348D" w:rsidRDefault="007D348D">
      <w:pPr>
        <w:rPr>
          <w:rFonts w:asciiTheme="minorEastAsia" w:eastAsiaTheme="minorEastAsia" w:hAnsiTheme="minorEastAsia" w:cstheme="minorEastAsia"/>
          <w:sz w:val="28"/>
          <w:szCs w:val="28"/>
        </w:rPr>
      </w:pPr>
    </w:p>
    <w:p w:rsidR="007D348D" w:rsidRDefault="007D348D">
      <w:pPr>
        <w:rPr>
          <w:rFonts w:asciiTheme="minorEastAsia" w:eastAsiaTheme="minorEastAsia" w:hAnsiTheme="minorEastAsia" w:cstheme="minorEastAsia"/>
          <w:sz w:val="28"/>
          <w:szCs w:val="28"/>
        </w:rPr>
      </w:pPr>
    </w:p>
    <w:p w:rsidR="007D348D" w:rsidRDefault="007D348D">
      <w:pPr>
        <w:rPr>
          <w:rFonts w:asciiTheme="minorEastAsia" w:eastAsiaTheme="minorEastAsia" w:hAnsiTheme="minorEastAsia" w:cstheme="minorEastAsia"/>
          <w:sz w:val="28"/>
          <w:szCs w:val="28"/>
        </w:rPr>
      </w:pPr>
    </w:p>
    <w:p w:rsidR="007D348D" w:rsidRDefault="007D348D">
      <w:pPr>
        <w:rPr>
          <w:rFonts w:asciiTheme="minorEastAsia" w:eastAsiaTheme="minorEastAsia" w:hAnsiTheme="minorEastAsia" w:cstheme="minorEastAsia"/>
          <w:sz w:val="28"/>
          <w:szCs w:val="28"/>
        </w:rPr>
      </w:pPr>
    </w:p>
    <w:p w:rsidR="007D348D" w:rsidRDefault="00E707EA" w:rsidP="00E4205A">
      <w:pPr>
        <w:pStyle w:val="2"/>
        <w:spacing w:beforeLines="100" w:afterLines="100" w:line="320" w:lineRule="exact"/>
        <w:rPr>
          <w:rFonts w:ascii="黑体" w:hAnsi="黑体"/>
          <w:b w:val="0"/>
          <w:bCs/>
          <w:sz w:val="28"/>
          <w:szCs w:val="28"/>
        </w:rPr>
      </w:pPr>
      <w:bookmarkStart w:id="0" w:name="_Toc5119"/>
      <w:bookmarkStart w:id="1" w:name="_Toc17196"/>
      <w:bookmarkStart w:id="2" w:name="_Toc32092"/>
      <w:bookmarkStart w:id="3" w:name="_Toc32141"/>
      <w:bookmarkStart w:id="4" w:name="_Toc18555"/>
      <w:bookmarkStart w:id="5" w:name="_Toc5059"/>
      <w:bookmarkStart w:id="6" w:name="_Toc18393"/>
      <w:bookmarkStart w:id="7" w:name="_Toc8332"/>
      <w:bookmarkStart w:id="8" w:name="_Toc29263"/>
      <w:bookmarkStart w:id="9" w:name="_Toc23757"/>
      <w:bookmarkStart w:id="10" w:name="_Toc10118"/>
      <w:r>
        <w:rPr>
          <w:rFonts w:ascii="黑体" w:hAnsi="黑体" w:hint="eastAsia"/>
          <w:b w:val="0"/>
          <w:bCs/>
          <w:szCs w:val="32"/>
        </w:rPr>
        <w:lastRenderedPageBreak/>
        <w:t>1</w:t>
      </w:r>
      <w:r>
        <w:rPr>
          <w:rFonts w:ascii="黑体" w:hAnsi="黑体" w:hint="eastAsia"/>
          <w:b w:val="0"/>
          <w:bCs/>
          <w:szCs w:val="32"/>
        </w:rPr>
        <w:t>范围</w:t>
      </w:r>
      <w:bookmarkEnd w:id="0"/>
      <w:bookmarkEnd w:id="1"/>
      <w:bookmarkEnd w:id="2"/>
      <w:bookmarkEnd w:id="3"/>
      <w:bookmarkEnd w:id="4"/>
      <w:bookmarkEnd w:id="5"/>
      <w:bookmarkEnd w:id="6"/>
      <w:bookmarkEnd w:id="7"/>
      <w:bookmarkEnd w:id="8"/>
      <w:bookmarkEnd w:id="9"/>
      <w:bookmarkEnd w:id="10"/>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本指南规定了制造业创新中心</w:t>
      </w:r>
      <w:r>
        <w:rPr>
          <w:rFonts w:ascii="宋体" w:hAnsi="宋体" w:cs="宋体" w:hint="eastAsia"/>
          <w:bCs/>
          <w:sz w:val="24"/>
        </w:rPr>
        <w:t>(</w:t>
      </w:r>
      <w:r>
        <w:rPr>
          <w:rFonts w:ascii="宋体" w:hAnsi="宋体" w:cs="宋体" w:hint="eastAsia"/>
          <w:bCs/>
          <w:sz w:val="24"/>
        </w:rPr>
        <w:t>以下称中心</w:t>
      </w:r>
      <w:r>
        <w:rPr>
          <w:rFonts w:ascii="宋体" w:hAnsi="宋体" w:cs="宋体" w:hint="eastAsia"/>
          <w:bCs/>
          <w:sz w:val="24"/>
        </w:rPr>
        <w:t>)</w:t>
      </w:r>
      <w:r>
        <w:rPr>
          <w:rFonts w:ascii="宋体" w:hAnsi="宋体" w:cs="宋体" w:hint="eastAsia"/>
          <w:bCs/>
          <w:sz w:val="24"/>
        </w:rPr>
        <w:t>知识产权的规范管理、创造与保护、转移转化、支撑服务等基本要求，适用于国家制造业创新中心和省级制造业创新中心知识产权指导与评价。</w:t>
      </w:r>
    </w:p>
    <w:p w:rsidR="007D348D" w:rsidRDefault="00E707EA" w:rsidP="00E4205A">
      <w:pPr>
        <w:pStyle w:val="2"/>
        <w:spacing w:beforeLines="100" w:afterLines="100" w:line="320" w:lineRule="exact"/>
        <w:rPr>
          <w:rFonts w:ascii="黑体" w:hAnsi="黑体"/>
          <w:b w:val="0"/>
          <w:bCs/>
          <w:szCs w:val="32"/>
        </w:rPr>
      </w:pPr>
      <w:bookmarkStart w:id="11" w:name="_Toc12519"/>
      <w:bookmarkStart w:id="12" w:name="_Toc6781"/>
      <w:bookmarkStart w:id="13" w:name="_Toc19225"/>
      <w:bookmarkStart w:id="14" w:name="_Toc3077"/>
      <w:bookmarkStart w:id="15" w:name="_Toc16492"/>
      <w:bookmarkStart w:id="16" w:name="_Toc26275"/>
      <w:bookmarkStart w:id="17" w:name="_Toc30657"/>
      <w:bookmarkStart w:id="18" w:name="_Toc17905"/>
      <w:bookmarkStart w:id="19" w:name="_Toc20612"/>
      <w:r>
        <w:rPr>
          <w:rFonts w:ascii="黑体" w:hAnsi="黑体" w:hint="eastAsia"/>
          <w:b w:val="0"/>
          <w:bCs/>
          <w:szCs w:val="32"/>
        </w:rPr>
        <w:t>2</w:t>
      </w:r>
      <w:r>
        <w:rPr>
          <w:rFonts w:ascii="黑体" w:hAnsi="黑体" w:hint="eastAsia"/>
          <w:b w:val="0"/>
          <w:bCs/>
          <w:szCs w:val="32"/>
        </w:rPr>
        <w:t>引用文件</w:t>
      </w:r>
      <w:bookmarkEnd w:id="11"/>
      <w:bookmarkEnd w:id="12"/>
      <w:bookmarkEnd w:id="13"/>
      <w:bookmarkEnd w:id="14"/>
      <w:bookmarkEnd w:id="15"/>
      <w:bookmarkEnd w:id="16"/>
      <w:bookmarkEnd w:id="17"/>
      <w:bookmarkEnd w:id="18"/>
      <w:bookmarkEnd w:id="19"/>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本指南主要引用以下文件：</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《中华人民共和国促进科技成果转化法》（</w:t>
      </w:r>
      <w:r>
        <w:rPr>
          <w:rFonts w:ascii="宋体" w:hAnsi="宋体" w:cs="宋体" w:hint="eastAsia"/>
          <w:bCs/>
          <w:sz w:val="24"/>
        </w:rPr>
        <w:t>2015</w:t>
      </w:r>
      <w:r>
        <w:rPr>
          <w:rFonts w:ascii="宋体" w:hAnsi="宋体" w:cs="宋体" w:hint="eastAsia"/>
          <w:bCs/>
          <w:sz w:val="24"/>
        </w:rPr>
        <w:t>年</w:t>
      </w:r>
      <w:r>
        <w:rPr>
          <w:rFonts w:ascii="宋体" w:hAnsi="宋体" w:cs="宋体" w:hint="eastAsia"/>
          <w:bCs/>
          <w:sz w:val="24"/>
        </w:rPr>
        <w:t>8</w:t>
      </w:r>
      <w:r>
        <w:rPr>
          <w:rFonts w:ascii="宋体" w:hAnsi="宋体" w:cs="宋体" w:hint="eastAsia"/>
          <w:bCs/>
          <w:sz w:val="24"/>
        </w:rPr>
        <w:t>月</w:t>
      </w:r>
      <w:r>
        <w:rPr>
          <w:rFonts w:ascii="宋体" w:hAnsi="宋体" w:cs="宋体" w:hint="eastAsia"/>
          <w:bCs/>
          <w:sz w:val="24"/>
        </w:rPr>
        <w:t>29</w:t>
      </w:r>
      <w:r>
        <w:rPr>
          <w:rFonts w:ascii="宋体" w:hAnsi="宋体" w:cs="宋体" w:hint="eastAsia"/>
          <w:bCs/>
          <w:sz w:val="24"/>
        </w:rPr>
        <w:t>日第十二届全国人民代表大会常务委员会第十六次会议修改）</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《关于印发实施〈中华人民共和国促进科技成果转化法〉若干规定的通知》（国发</w:t>
      </w:r>
      <w:r>
        <w:rPr>
          <w:rFonts w:ascii="宋体" w:hAnsi="宋体" w:cs="宋体" w:hint="eastAsia"/>
          <w:bCs/>
          <w:sz w:val="24"/>
        </w:rPr>
        <w:t>[2016]16</w:t>
      </w:r>
      <w:r>
        <w:rPr>
          <w:rFonts w:ascii="宋体" w:hAnsi="宋体" w:cs="宋体" w:hint="eastAsia"/>
          <w:bCs/>
          <w:sz w:val="24"/>
        </w:rPr>
        <w:t>号）</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《国家知识产权战略纲要》（国发〔</w:t>
      </w:r>
      <w:r>
        <w:rPr>
          <w:rFonts w:ascii="宋体" w:hAnsi="宋体" w:cs="宋体" w:hint="eastAsia"/>
          <w:bCs/>
          <w:sz w:val="24"/>
        </w:rPr>
        <w:t>2008</w:t>
      </w:r>
      <w:r>
        <w:rPr>
          <w:rFonts w:ascii="宋体" w:hAnsi="宋体" w:cs="宋体" w:hint="eastAsia"/>
          <w:bCs/>
          <w:sz w:val="24"/>
        </w:rPr>
        <w:t>〕</w:t>
      </w:r>
      <w:r>
        <w:rPr>
          <w:rFonts w:ascii="宋体" w:hAnsi="宋体" w:cs="宋体" w:hint="eastAsia"/>
          <w:bCs/>
          <w:sz w:val="24"/>
        </w:rPr>
        <w:t xml:space="preserve">18 </w:t>
      </w:r>
      <w:r>
        <w:rPr>
          <w:rFonts w:ascii="宋体" w:hAnsi="宋体" w:cs="宋体" w:hint="eastAsia"/>
          <w:bCs/>
          <w:sz w:val="24"/>
        </w:rPr>
        <w:t>号）</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《中国制造</w:t>
      </w:r>
      <w:r>
        <w:rPr>
          <w:rFonts w:ascii="宋体" w:hAnsi="宋体" w:cs="宋体" w:hint="eastAsia"/>
          <w:bCs/>
          <w:sz w:val="24"/>
        </w:rPr>
        <w:t>2025</w:t>
      </w:r>
      <w:r>
        <w:rPr>
          <w:rFonts w:ascii="宋体" w:hAnsi="宋体" w:cs="宋体" w:hint="eastAsia"/>
          <w:bCs/>
          <w:sz w:val="24"/>
        </w:rPr>
        <w:t>》（国发〔</w:t>
      </w:r>
      <w:r>
        <w:rPr>
          <w:rFonts w:ascii="宋体" w:hAnsi="宋体" w:cs="宋体" w:hint="eastAsia"/>
          <w:bCs/>
          <w:sz w:val="24"/>
        </w:rPr>
        <w:t>2015</w:t>
      </w:r>
      <w:r>
        <w:rPr>
          <w:rFonts w:ascii="宋体" w:hAnsi="宋体" w:cs="宋体" w:hint="eastAsia"/>
          <w:bCs/>
          <w:sz w:val="24"/>
        </w:rPr>
        <w:t>〕</w:t>
      </w:r>
      <w:r>
        <w:rPr>
          <w:rFonts w:ascii="宋体" w:hAnsi="宋体" w:cs="宋体" w:hint="eastAsia"/>
          <w:bCs/>
          <w:sz w:val="24"/>
        </w:rPr>
        <w:t>28</w:t>
      </w:r>
      <w:r>
        <w:rPr>
          <w:rFonts w:ascii="宋体" w:hAnsi="宋体" w:cs="宋体" w:hint="eastAsia"/>
          <w:bCs/>
          <w:sz w:val="24"/>
        </w:rPr>
        <w:t>号）</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《国务院关于新形势下加快知识产权强国建设的若干意见》（国发〔</w:t>
      </w:r>
      <w:r>
        <w:rPr>
          <w:rFonts w:ascii="宋体" w:hAnsi="宋体" w:cs="宋体" w:hint="eastAsia"/>
          <w:bCs/>
          <w:sz w:val="24"/>
        </w:rPr>
        <w:t>2015</w:t>
      </w:r>
      <w:r>
        <w:rPr>
          <w:rFonts w:ascii="宋体" w:hAnsi="宋体" w:cs="宋体" w:hint="eastAsia"/>
          <w:bCs/>
          <w:sz w:val="24"/>
        </w:rPr>
        <w:t>〕</w:t>
      </w:r>
      <w:r>
        <w:rPr>
          <w:rFonts w:ascii="宋体" w:hAnsi="宋体" w:cs="宋体" w:hint="eastAsia"/>
          <w:bCs/>
          <w:sz w:val="24"/>
        </w:rPr>
        <w:t>71</w:t>
      </w:r>
      <w:r>
        <w:rPr>
          <w:rFonts w:ascii="宋体" w:hAnsi="宋体" w:cs="宋体" w:hint="eastAsia"/>
          <w:bCs/>
          <w:sz w:val="24"/>
        </w:rPr>
        <w:t>号）</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《企业知识产权管理规范》（</w:t>
      </w:r>
      <w:r>
        <w:rPr>
          <w:rFonts w:ascii="宋体" w:hAnsi="宋体" w:cs="宋体" w:hint="eastAsia"/>
          <w:bCs/>
          <w:sz w:val="24"/>
        </w:rPr>
        <w:t>GB/T 29490-2013</w:t>
      </w:r>
      <w:r>
        <w:rPr>
          <w:rFonts w:ascii="宋体" w:hAnsi="宋体" w:cs="宋体" w:hint="eastAsia"/>
          <w:bCs/>
          <w:sz w:val="24"/>
        </w:rPr>
        <w:t>）</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《工业和信息化部关于完善制造业创新体系</w:t>
      </w:r>
      <w:r>
        <w:rPr>
          <w:rFonts w:ascii="宋体" w:hAnsi="宋体" w:cs="宋体" w:hint="eastAsia"/>
          <w:bCs/>
          <w:sz w:val="24"/>
        </w:rPr>
        <w:t xml:space="preserve"> </w:t>
      </w:r>
      <w:r>
        <w:rPr>
          <w:rFonts w:ascii="宋体" w:hAnsi="宋体" w:cs="宋体" w:hint="eastAsia"/>
          <w:bCs/>
          <w:sz w:val="24"/>
        </w:rPr>
        <w:t>推进制造业创新中心建设的</w:t>
      </w:r>
      <w:r>
        <w:rPr>
          <w:rFonts w:ascii="宋体" w:hAnsi="宋体" w:cs="宋体" w:hint="eastAsia"/>
          <w:bCs/>
          <w:sz w:val="24"/>
        </w:rPr>
        <w:t>指导意见》（工信部科〔</w:t>
      </w:r>
      <w:r>
        <w:rPr>
          <w:rFonts w:ascii="宋体" w:hAnsi="宋体" w:cs="宋体" w:hint="eastAsia"/>
          <w:bCs/>
          <w:sz w:val="24"/>
        </w:rPr>
        <w:t>2016</w:t>
      </w:r>
      <w:r>
        <w:rPr>
          <w:rFonts w:ascii="宋体" w:hAnsi="宋体" w:cs="宋体" w:hint="eastAsia"/>
          <w:bCs/>
          <w:sz w:val="24"/>
        </w:rPr>
        <w:t>〕</w:t>
      </w:r>
      <w:r>
        <w:rPr>
          <w:rFonts w:ascii="宋体" w:hAnsi="宋体" w:cs="宋体" w:hint="eastAsia"/>
          <w:bCs/>
          <w:sz w:val="24"/>
        </w:rPr>
        <w:t>273</w:t>
      </w:r>
      <w:r>
        <w:rPr>
          <w:rFonts w:ascii="宋体" w:hAnsi="宋体" w:cs="宋体" w:hint="eastAsia"/>
          <w:bCs/>
          <w:sz w:val="24"/>
        </w:rPr>
        <w:t>号）</w:t>
      </w: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《制造业创新中心建设工程实施指南》（</w:t>
      </w:r>
      <w:r>
        <w:rPr>
          <w:rFonts w:ascii="宋体" w:hAnsi="宋体" w:cs="宋体" w:hint="eastAsia"/>
          <w:bCs/>
          <w:sz w:val="24"/>
        </w:rPr>
        <w:t xml:space="preserve">2016-2020 </w:t>
      </w:r>
      <w:r>
        <w:rPr>
          <w:rFonts w:ascii="宋体" w:hAnsi="宋体" w:cs="宋体" w:hint="eastAsia"/>
          <w:bCs/>
          <w:sz w:val="24"/>
        </w:rPr>
        <w:t>年）</w:t>
      </w:r>
    </w:p>
    <w:p w:rsidR="007D348D" w:rsidRDefault="00E707EA" w:rsidP="00E4205A">
      <w:pPr>
        <w:pStyle w:val="2"/>
        <w:tabs>
          <w:tab w:val="left" w:pos="5683"/>
        </w:tabs>
        <w:spacing w:beforeLines="100" w:afterLines="100" w:line="320" w:lineRule="exact"/>
        <w:rPr>
          <w:rFonts w:ascii="黑体" w:hAnsi="黑体"/>
          <w:sz w:val="28"/>
          <w:szCs w:val="28"/>
        </w:rPr>
      </w:pPr>
      <w:bookmarkStart w:id="20" w:name="_Toc27033"/>
      <w:bookmarkStart w:id="21" w:name="_Toc6450"/>
      <w:bookmarkStart w:id="22" w:name="_Toc11585"/>
      <w:bookmarkStart w:id="23" w:name="_Toc25714"/>
      <w:bookmarkStart w:id="24" w:name="_Toc1491"/>
      <w:bookmarkStart w:id="25" w:name="_Toc20895"/>
      <w:bookmarkStart w:id="26" w:name="_Toc29954"/>
      <w:bookmarkStart w:id="27" w:name="_Toc2553"/>
      <w:bookmarkStart w:id="28" w:name="_Toc5991"/>
      <w:r>
        <w:rPr>
          <w:rFonts w:ascii="黑体" w:hAnsi="黑体" w:hint="eastAsia"/>
          <w:b w:val="0"/>
          <w:bCs/>
          <w:szCs w:val="32"/>
        </w:rPr>
        <w:t>3</w:t>
      </w:r>
      <w:r>
        <w:rPr>
          <w:rFonts w:ascii="黑体" w:hAnsi="黑体" w:hint="eastAsia"/>
          <w:b w:val="0"/>
          <w:bCs/>
          <w:szCs w:val="32"/>
        </w:rPr>
        <w:t>概念</w:t>
      </w:r>
      <w:bookmarkEnd w:id="20"/>
      <w:bookmarkEnd w:id="21"/>
      <w:bookmarkEnd w:id="22"/>
      <w:bookmarkEnd w:id="23"/>
      <w:bookmarkEnd w:id="24"/>
      <w:bookmarkEnd w:id="25"/>
      <w:bookmarkEnd w:id="26"/>
      <w:bookmarkEnd w:id="27"/>
      <w:bookmarkEnd w:id="28"/>
      <w:r>
        <w:rPr>
          <w:rFonts w:ascii="黑体" w:hAnsi="黑体" w:hint="eastAsia"/>
          <w:sz w:val="28"/>
          <w:szCs w:val="28"/>
        </w:rPr>
        <w:tab/>
      </w:r>
    </w:p>
    <w:p w:rsidR="007D348D" w:rsidRDefault="00E707EA" w:rsidP="00E4205A">
      <w:pPr>
        <w:spacing w:line="320" w:lineRule="exact"/>
        <w:ind w:firstLineChars="200" w:firstLine="480"/>
        <w:rPr>
          <w:rFonts w:ascii="宋体" w:hAnsi="宋体" w:cs="宋体"/>
          <w:bCs/>
          <w:sz w:val="24"/>
        </w:rPr>
      </w:pPr>
      <w:r>
        <w:rPr>
          <w:rFonts w:ascii="宋体" w:hAnsi="宋体" w:cs="宋体" w:hint="eastAsia"/>
          <w:bCs/>
          <w:sz w:val="24"/>
        </w:rPr>
        <w:t>下列概念适用于本指南。</w:t>
      </w:r>
    </w:p>
    <w:p w:rsidR="007D348D" w:rsidRDefault="00E707EA" w:rsidP="00E4205A">
      <w:pPr>
        <w:pStyle w:val="3"/>
        <w:spacing w:beforeLines="50" w:afterLines="50" w:line="320" w:lineRule="exact"/>
        <w:rPr>
          <w:rFonts w:ascii="黑体" w:eastAsia="黑体" w:hAnsi="黑体"/>
          <w:b w:val="0"/>
          <w:sz w:val="24"/>
          <w:szCs w:val="24"/>
        </w:rPr>
      </w:pPr>
      <w:bookmarkStart w:id="29" w:name="_Toc19707"/>
      <w:bookmarkStart w:id="30" w:name="_Toc7942"/>
      <w:bookmarkStart w:id="31" w:name="_Toc20737"/>
      <w:bookmarkStart w:id="32" w:name="_Toc21332"/>
      <w:bookmarkStart w:id="33" w:name="_Toc17224"/>
      <w:bookmarkStart w:id="34" w:name="_Toc6428"/>
      <w:bookmarkStart w:id="35" w:name="_Toc31503"/>
      <w:bookmarkStart w:id="36" w:name="_Toc13570"/>
      <w:bookmarkStart w:id="37" w:name="_Toc14812"/>
      <w:bookmarkStart w:id="38" w:name="_Toc17456"/>
      <w:bookmarkStart w:id="39" w:name="_Toc31082"/>
      <w:r>
        <w:rPr>
          <w:rFonts w:ascii="黑体" w:eastAsia="黑体" w:hAnsi="黑体" w:hint="eastAsia"/>
          <w:b w:val="0"/>
          <w:sz w:val="24"/>
          <w:szCs w:val="24"/>
        </w:rPr>
        <w:t>3.1</w:t>
      </w:r>
      <w:r>
        <w:rPr>
          <w:rFonts w:ascii="黑体" w:eastAsia="黑体" w:hAnsi="黑体" w:hint="eastAsia"/>
          <w:b w:val="0"/>
          <w:sz w:val="24"/>
          <w:szCs w:val="24"/>
        </w:rPr>
        <w:t>知识产权</w:t>
      </w:r>
      <w:bookmarkEnd w:id="29"/>
      <w:bookmarkEnd w:id="30"/>
      <w:bookmarkEnd w:id="31"/>
      <w:bookmarkEnd w:id="32"/>
      <w:bookmarkEnd w:id="33"/>
      <w:bookmarkEnd w:id="34"/>
      <w:bookmarkEnd w:id="35"/>
      <w:bookmarkEnd w:id="36"/>
      <w:bookmarkEnd w:id="37"/>
      <w:bookmarkEnd w:id="38"/>
      <w:bookmarkEnd w:id="39"/>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知识产权是指发明者、创造者等对自己的创造性劳动成果依法享有的专有权。本指南所指知识产权包括专利、商标、著作权及相关权、集成电路布图设计、商业秘密等。</w:t>
      </w:r>
    </w:p>
    <w:p w:rsidR="007D348D" w:rsidRDefault="00E707EA" w:rsidP="00E4205A">
      <w:pPr>
        <w:pStyle w:val="3"/>
        <w:spacing w:beforeLines="50" w:afterLines="50" w:line="320" w:lineRule="exact"/>
        <w:rPr>
          <w:rFonts w:ascii="黑体" w:eastAsia="黑体" w:hAnsi="黑体"/>
          <w:b w:val="0"/>
          <w:sz w:val="24"/>
          <w:szCs w:val="24"/>
        </w:rPr>
      </w:pPr>
      <w:bookmarkStart w:id="40" w:name="_Toc1243"/>
      <w:bookmarkStart w:id="41" w:name="_Toc18227"/>
      <w:bookmarkStart w:id="42" w:name="_Toc30479"/>
      <w:bookmarkStart w:id="43" w:name="_Toc8241"/>
      <w:bookmarkStart w:id="44" w:name="_Toc20405"/>
      <w:bookmarkStart w:id="45" w:name="_Toc26578"/>
      <w:bookmarkStart w:id="46" w:name="_Toc13694"/>
      <w:bookmarkStart w:id="47" w:name="_Toc2503"/>
      <w:bookmarkStart w:id="48" w:name="_Toc12327"/>
      <w:bookmarkStart w:id="49" w:name="_Toc29195"/>
      <w:bookmarkStart w:id="50" w:name="_Toc7945"/>
      <w:r>
        <w:rPr>
          <w:rFonts w:ascii="黑体" w:eastAsia="黑体" w:hAnsi="黑体" w:hint="eastAsia"/>
          <w:b w:val="0"/>
          <w:sz w:val="24"/>
          <w:szCs w:val="24"/>
        </w:rPr>
        <w:t>3.2</w:t>
      </w:r>
      <w:r>
        <w:rPr>
          <w:rFonts w:ascii="黑体" w:eastAsia="黑体" w:hAnsi="黑体" w:hint="eastAsia"/>
          <w:b w:val="0"/>
          <w:sz w:val="24"/>
          <w:szCs w:val="24"/>
        </w:rPr>
        <w:t>知识产权运用</w:t>
      </w:r>
      <w:bookmarkEnd w:id="40"/>
      <w:bookmarkEnd w:id="41"/>
      <w:bookmarkEnd w:id="42"/>
      <w:bookmarkEnd w:id="43"/>
      <w:bookmarkEnd w:id="44"/>
      <w:bookmarkEnd w:id="45"/>
      <w:bookmarkEnd w:id="46"/>
      <w:bookmarkEnd w:id="47"/>
      <w:bookmarkEnd w:id="48"/>
      <w:bookmarkEnd w:id="49"/>
      <w:bookmarkEnd w:id="50"/>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知识产权运用是指市场主体依法在技术开发、成果转移扩散、商业化应用和市场竞争等过程中有效利用知识产权制度，保护和激励创新，提升创新成果价值</w:t>
      </w:r>
      <w:r>
        <w:rPr>
          <w:rFonts w:ascii="宋体" w:hAnsi="宋体" w:cs="宋体" w:hint="eastAsia"/>
          <w:bCs/>
          <w:sz w:val="24"/>
        </w:rPr>
        <w:lastRenderedPageBreak/>
        <w:t>的活动。</w:t>
      </w:r>
    </w:p>
    <w:p w:rsidR="007D348D" w:rsidRDefault="00E707EA" w:rsidP="00E4205A">
      <w:pPr>
        <w:pStyle w:val="3"/>
        <w:spacing w:beforeLines="50" w:afterLines="50" w:line="320" w:lineRule="exact"/>
        <w:rPr>
          <w:rFonts w:ascii="黑体" w:eastAsia="黑体" w:hAnsi="黑体"/>
          <w:b w:val="0"/>
          <w:sz w:val="24"/>
          <w:szCs w:val="24"/>
        </w:rPr>
      </w:pPr>
      <w:bookmarkStart w:id="51" w:name="_Toc15881"/>
      <w:r>
        <w:rPr>
          <w:rFonts w:ascii="黑体" w:eastAsia="黑体" w:hAnsi="黑体" w:hint="eastAsia"/>
          <w:b w:val="0"/>
          <w:sz w:val="24"/>
          <w:szCs w:val="24"/>
        </w:rPr>
        <w:t>3.3</w:t>
      </w:r>
      <w:r>
        <w:rPr>
          <w:rFonts w:ascii="黑体" w:eastAsia="黑体" w:hAnsi="黑体" w:hint="eastAsia"/>
          <w:b w:val="0"/>
          <w:sz w:val="24"/>
          <w:szCs w:val="24"/>
        </w:rPr>
        <w:t>既有知识产权</w:t>
      </w:r>
      <w:bookmarkEnd w:id="51"/>
    </w:p>
    <w:p w:rsidR="007D348D" w:rsidRDefault="00E707EA">
      <w:pPr>
        <w:spacing w:line="360" w:lineRule="auto"/>
      </w:pPr>
      <w:r>
        <w:rPr>
          <w:rFonts w:ascii="宋体" w:hAnsi="宋体" w:cs="宋体" w:hint="eastAsia"/>
          <w:bCs/>
          <w:szCs w:val="21"/>
        </w:rPr>
        <w:t xml:space="preserve">  </w:t>
      </w:r>
      <w:r>
        <w:rPr>
          <w:rFonts w:ascii="宋体" w:hAnsi="宋体" w:cs="宋体" w:hint="eastAsia"/>
          <w:bCs/>
          <w:sz w:val="24"/>
        </w:rPr>
        <w:t xml:space="preserve">  </w:t>
      </w:r>
      <w:r>
        <w:rPr>
          <w:rFonts w:ascii="宋体" w:hAnsi="宋体" w:cs="宋体" w:hint="eastAsia"/>
          <w:bCs/>
          <w:sz w:val="24"/>
        </w:rPr>
        <w:t>既有知识产权是指中心设立之前，各成员单位获得和拥有的知识产权；或中心设立之后，各成员单位在中心约定或指定项目之外获得和拥有的知识产权。</w:t>
      </w:r>
    </w:p>
    <w:p w:rsidR="007D348D" w:rsidRDefault="00E707EA" w:rsidP="00E4205A">
      <w:pPr>
        <w:pStyle w:val="2"/>
        <w:tabs>
          <w:tab w:val="left" w:pos="5683"/>
        </w:tabs>
        <w:spacing w:beforeLines="100" w:afterLines="100" w:line="320" w:lineRule="exact"/>
        <w:rPr>
          <w:rFonts w:ascii="黑体" w:hAnsi="黑体"/>
          <w:b w:val="0"/>
          <w:bCs/>
          <w:szCs w:val="32"/>
        </w:rPr>
      </w:pPr>
      <w:bookmarkStart w:id="52" w:name="_Toc19816"/>
      <w:bookmarkStart w:id="53" w:name="_Toc31735"/>
      <w:bookmarkStart w:id="54" w:name="_Toc29127"/>
      <w:bookmarkStart w:id="55" w:name="_Toc16890"/>
      <w:bookmarkStart w:id="56" w:name="_Toc4079"/>
      <w:bookmarkStart w:id="57" w:name="_Toc17395"/>
      <w:bookmarkStart w:id="58" w:name="_Toc23842"/>
      <w:bookmarkStart w:id="59" w:name="_Toc29516"/>
      <w:bookmarkStart w:id="60" w:name="_Toc4532"/>
      <w:bookmarkStart w:id="61" w:name="_Toc32356"/>
      <w:bookmarkStart w:id="62" w:name="_Toc26356"/>
      <w:r>
        <w:rPr>
          <w:rFonts w:ascii="黑体" w:hAnsi="黑体" w:hint="eastAsia"/>
          <w:b w:val="0"/>
          <w:bCs/>
          <w:szCs w:val="32"/>
        </w:rPr>
        <w:t>4</w:t>
      </w:r>
      <w:r>
        <w:rPr>
          <w:rFonts w:ascii="黑体" w:hAnsi="黑体" w:hint="eastAsia"/>
          <w:b w:val="0"/>
          <w:bCs/>
          <w:szCs w:val="32"/>
        </w:rPr>
        <w:t>基本要求</w:t>
      </w:r>
      <w:bookmarkEnd w:id="52"/>
      <w:bookmarkEnd w:id="53"/>
      <w:bookmarkEnd w:id="54"/>
      <w:bookmarkEnd w:id="55"/>
      <w:bookmarkEnd w:id="56"/>
      <w:bookmarkEnd w:id="57"/>
      <w:bookmarkEnd w:id="58"/>
      <w:bookmarkEnd w:id="59"/>
      <w:bookmarkEnd w:id="60"/>
      <w:bookmarkEnd w:id="61"/>
      <w:bookmarkEnd w:id="62"/>
    </w:p>
    <w:p w:rsidR="007D348D" w:rsidRDefault="00E707EA" w:rsidP="00E4205A">
      <w:pPr>
        <w:pStyle w:val="3"/>
        <w:spacing w:beforeLines="50" w:afterLines="50" w:line="320" w:lineRule="exact"/>
        <w:rPr>
          <w:rFonts w:ascii="黑体" w:eastAsia="黑体" w:hAnsi="黑体"/>
          <w:b w:val="0"/>
          <w:sz w:val="24"/>
          <w:szCs w:val="24"/>
        </w:rPr>
      </w:pPr>
      <w:bookmarkStart w:id="63" w:name="_Toc14046"/>
      <w:r>
        <w:rPr>
          <w:rFonts w:ascii="黑体" w:eastAsia="黑体" w:hAnsi="黑体" w:hint="eastAsia"/>
          <w:b w:val="0"/>
          <w:sz w:val="24"/>
          <w:szCs w:val="24"/>
        </w:rPr>
        <w:t>4.1</w:t>
      </w:r>
      <w:r>
        <w:rPr>
          <w:rFonts w:ascii="黑体" w:eastAsia="黑体" w:hAnsi="黑体" w:hint="eastAsia"/>
          <w:b w:val="0"/>
          <w:sz w:val="24"/>
          <w:szCs w:val="24"/>
        </w:rPr>
        <w:t>健全管理</w:t>
      </w:r>
      <w:bookmarkEnd w:id="63"/>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建立主要领导负责的知识产权组织管理机构。建立、健全知识产权管理制度。</w:t>
      </w:r>
    </w:p>
    <w:p w:rsidR="007D348D" w:rsidRDefault="00E707EA" w:rsidP="00E4205A">
      <w:pPr>
        <w:pStyle w:val="3"/>
        <w:spacing w:beforeLines="50" w:afterLines="50" w:line="320" w:lineRule="exact"/>
        <w:rPr>
          <w:rFonts w:ascii="黑体" w:eastAsia="黑体" w:hAnsi="黑体"/>
          <w:b w:val="0"/>
          <w:sz w:val="24"/>
          <w:szCs w:val="24"/>
        </w:rPr>
      </w:pPr>
      <w:bookmarkStart w:id="64" w:name="_Toc4559"/>
      <w:r>
        <w:rPr>
          <w:rFonts w:ascii="黑体" w:eastAsia="黑体" w:hAnsi="黑体" w:hint="eastAsia"/>
          <w:b w:val="0"/>
          <w:sz w:val="24"/>
          <w:szCs w:val="24"/>
        </w:rPr>
        <w:t>4.2</w:t>
      </w:r>
      <w:r>
        <w:rPr>
          <w:rFonts w:ascii="黑体" w:eastAsia="黑体" w:hAnsi="黑体" w:hint="eastAsia"/>
          <w:b w:val="0"/>
          <w:sz w:val="24"/>
          <w:szCs w:val="24"/>
        </w:rPr>
        <w:t>强化保护</w:t>
      </w:r>
      <w:bookmarkEnd w:id="64"/>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综合运用专利、商标、著作权、集成电路布图设计和商业秘密等各类知识产权，构建核心技术知识产权保护体系，有效管理和防控知识产权风险，保障创新主体合法权益。</w:t>
      </w:r>
    </w:p>
    <w:p w:rsidR="007D348D" w:rsidRDefault="00E707EA" w:rsidP="00E4205A">
      <w:pPr>
        <w:pStyle w:val="3"/>
        <w:spacing w:beforeLines="50" w:afterLines="50" w:line="320" w:lineRule="exact"/>
        <w:rPr>
          <w:rFonts w:ascii="黑体" w:eastAsia="黑体" w:hAnsi="黑体"/>
          <w:b w:val="0"/>
          <w:sz w:val="24"/>
          <w:szCs w:val="24"/>
        </w:rPr>
      </w:pPr>
      <w:bookmarkStart w:id="65" w:name="_Toc23911"/>
      <w:bookmarkStart w:id="66" w:name="_Toc670"/>
      <w:bookmarkStart w:id="67" w:name="_Toc7837"/>
      <w:bookmarkStart w:id="68" w:name="_Toc550"/>
      <w:bookmarkStart w:id="69" w:name="_Toc2944"/>
      <w:bookmarkStart w:id="70" w:name="_Toc11136"/>
      <w:bookmarkStart w:id="71" w:name="_Toc1748"/>
      <w:bookmarkStart w:id="72" w:name="_Toc32601"/>
      <w:bookmarkStart w:id="73" w:name="_Toc380"/>
      <w:bookmarkStart w:id="74" w:name="_Toc19955"/>
      <w:bookmarkStart w:id="75" w:name="_Toc24798"/>
      <w:r>
        <w:rPr>
          <w:rFonts w:ascii="黑体" w:eastAsia="黑体" w:hAnsi="黑体" w:hint="eastAsia"/>
          <w:b w:val="0"/>
          <w:sz w:val="24"/>
          <w:szCs w:val="24"/>
        </w:rPr>
        <w:t>4.3</w:t>
      </w:r>
      <w:bookmarkEnd w:id="65"/>
      <w:bookmarkEnd w:id="66"/>
      <w:bookmarkEnd w:id="67"/>
      <w:bookmarkEnd w:id="68"/>
      <w:bookmarkEnd w:id="69"/>
      <w:bookmarkEnd w:id="70"/>
      <w:bookmarkEnd w:id="71"/>
      <w:bookmarkEnd w:id="72"/>
      <w:bookmarkEnd w:id="73"/>
      <w:bookmarkEnd w:id="74"/>
      <w:r>
        <w:rPr>
          <w:rFonts w:ascii="黑体" w:eastAsia="黑体" w:hAnsi="黑体" w:hint="eastAsia"/>
          <w:b w:val="0"/>
          <w:sz w:val="24"/>
          <w:szCs w:val="24"/>
        </w:rPr>
        <w:t>转移转化</w:t>
      </w:r>
      <w:bookmarkEnd w:id="75"/>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制定知识产权转移转化原则、政策，建立转移扩散机制，实现创新成果产业化。</w:t>
      </w:r>
      <w:bookmarkStart w:id="76" w:name="_Toc18014"/>
      <w:bookmarkStart w:id="77" w:name="_Toc3112"/>
      <w:bookmarkStart w:id="78" w:name="_Toc27346"/>
      <w:bookmarkStart w:id="79" w:name="_Toc21657"/>
      <w:bookmarkStart w:id="80" w:name="_Toc5022"/>
      <w:bookmarkStart w:id="81" w:name="_Toc23679"/>
      <w:bookmarkStart w:id="82" w:name="_Toc16639"/>
      <w:bookmarkStart w:id="83" w:name="_Toc632"/>
      <w:bookmarkStart w:id="84" w:name="_Toc8577"/>
      <w:bookmarkStart w:id="85" w:name="_Toc18839"/>
    </w:p>
    <w:p w:rsidR="007D348D" w:rsidRDefault="00E707EA" w:rsidP="00E4205A">
      <w:pPr>
        <w:pStyle w:val="3"/>
        <w:spacing w:beforeLines="50" w:afterLines="50" w:line="320" w:lineRule="exact"/>
        <w:rPr>
          <w:rFonts w:ascii="黑体" w:eastAsia="黑体" w:hAnsi="黑体"/>
          <w:b w:val="0"/>
          <w:sz w:val="24"/>
          <w:szCs w:val="24"/>
        </w:rPr>
      </w:pPr>
      <w:bookmarkStart w:id="86" w:name="_Toc21562"/>
      <w:bookmarkEnd w:id="76"/>
      <w:bookmarkEnd w:id="77"/>
      <w:bookmarkEnd w:id="78"/>
      <w:bookmarkEnd w:id="79"/>
      <w:bookmarkEnd w:id="80"/>
      <w:bookmarkEnd w:id="81"/>
      <w:bookmarkEnd w:id="82"/>
      <w:bookmarkEnd w:id="83"/>
      <w:bookmarkEnd w:id="84"/>
      <w:bookmarkEnd w:id="85"/>
      <w:r>
        <w:rPr>
          <w:rFonts w:ascii="黑体" w:eastAsia="黑体" w:hAnsi="黑体" w:hint="eastAsia"/>
          <w:b w:val="0"/>
          <w:sz w:val="24"/>
          <w:szCs w:val="24"/>
        </w:rPr>
        <w:t>4.4</w:t>
      </w:r>
      <w:r>
        <w:rPr>
          <w:rFonts w:ascii="黑体" w:eastAsia="黑体" w:hAnsi="黑体" w:hint="eastAsia"/>
          <w:b w:val="0"/>
          <w:sz w:val="24"/>
          <w:szCs w:val="24"/>
        </w:rPr>
        <w:t>支撑服务</w:t>
      </w:r>
      <w:bookmarkEnd w:id="86"/>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汇聚行业创新资源，面向行业开放共享。依托产业联盟、行业组织，联合专业机构，提供产业知识产权支撑服务。</w:t>
      </w:r>
    </w:p>
    <w:p w:rsidR="007D348D" w:rsidRDefault="00E707EA" w:rsidP="00E4205A">
      <w:pPr>
        <w:pStyle w:val="2"/>
        <w:tabs>
          <w:tab w:val="left" w:pos="5683"/>
        </w:tabs>
        <w:spacing w:beforeLines="100" w:afterLines="100" w:line="320" w:lineRule="exact"/>
        <w:rPr>
          <w:rFonts w:ascii="黑体" w:hAnsi="黑体"/>
          <w:b w:val="0"/>
          <w:bCs/>
          <w:szCs w:val="32"/>
        </w:rPr>
      </w:pPr>
      <w:bookmarkStart w:id="87" w:name="_Toc6138"/>
      <w:r>
        <w:rPr>
          <w:rFonts w:ascii="黑体" w:hAnsi="黑体" w:hint="eastAsia"/>
          <w:b w:val="0"/>
          <w:bCs/>
          <w:szCs w:val="32"/>
        </w:rPr>
        <w:t>5</w:t>
      </w:r>
      <w:r>
        <w:rPr>
          <w:rFonts w:ascii="黑体" w:hAnsi="黑体" w:hint="eastAsia"/>
          <w:b w:val="0"/>
          <w:bCs/>
          <w:szCs w:val="32"/>
        </w:rPr>
        <w:t>框架与内容</w:t>
      </w:r>
      <w:bookmarkEnd w:id="87"/>
    </w:p>
    <w:p w:rsidR="007D348D" w:rsidRDefault="00E707EA" w:rsidP="00E4205A">
      <w:pPr>
        <w:pStyle w:val="3"/>
        <w:spacing w:beforeLines="50" w:afterLines="50" w:line="320" w:lineRule="exact"/>
        <w:rPr>
          <w:rFonts w:ascii="黑体" w:eastAsia="黑体" w:hAnsi="黑体"/>
          <w:b w:val="0"/>
          <w:sz w:val="24"/>
          <w:szCs w:val="24"/>
        </w:rPr>
      </w:pPr>
      <w:bookmarkStart w:id="88" w:name="_Toc29932"/>
      <w:bookmarkStart w:id="89" w:name="_Toc9117"/>
      <w:bookmarkStart w:id="90" w:name="_Toc6892"/>
      <w:bookmarkStart w:id="91" w:name="_Toc21937"/>
      <w:bookmarkStart w:id="92" w:name="_Toc22852"/>
      <w:bookmarkStart w:id="93" w:name="_Toc28211"/>
      <w:bookmarkStart w:id="94" w:name="_Toc5331"/>
      <w:bookmarkStart w:id="95" w:name="_Toc9577"/>
      <w:bookmarkStart w:id="96" w:name="_Toc31950"/>
      <w:bookmarkStart w:id="97" w:name="_Toc28735"/>
      <w:bookmarkStart w:id="98" w:name="_Toc12512"/>
      <w:r>
        <w:rPr>
          <w:rFonts w:ascii="黑体" w:eastAsia="黑体" w:hAnsi="黑体" w:hint="eastAsia"/>
          <w:b w:val="0"/>
          <w:sz w:val="24"/>
          <w:szCs w:val="24"/>
        </w:rPr>
        <w:t>5.1</w:t>
      </w:r>
      <w:r>
        <w:rPr>
          <w:rFonts w:ascii="黑体" w:eastAsia="黑体" w:hAnsi="黑体" w:hint="eastAsia"/>
          <w:b w:val="0"/>
          <w:sz w:val="24"/>
          <w:szCs w:val="24"/>
        </w:rPr>
        <w:t>知识产权管理</w:t>
      </w:r>
      <w:bookmarkEnd w:id="88"/>
      <w:bookmarkEnd w:id="89"/>
      <w:bookmarkEnd w:id="90"/>
      <w:bookmarkEnd w:id="91"/>
      <w:bookmarkEnd w:id="92"/>
      <w:bookmarkEnd w:id="93"/>
      <w:bookmarkEnd w:id="94"/>
      <w:bookmarkEnd w:id="95"/>
      <w:bookmarkEnd w:id="96"/>
      <w:bookmarkEnd w:id="97"/>
      <w:bookmarkEnd w:id="98"/>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按照《企业知识产权管理规范》（</w:t>
      </w:r>
      <w:r>
        <w:rPr>
          <w:rFonts w:ascii="宋体" w:hAnsi="宋体" w:cs="宋体" w:hint="eastAsia"/>
          <w:bCs/>
          <w:sz w:val="24"/>
        </w:rPr>
        <w:t>GB/T 29490-2013</w:t>
      </w:r>
      <w:r>
        <w:rPr>
          <w:rFonts w:ascii="宋体" w:hAnsi="宋体" w:cs="宋体" w:hint="eastAsia"/>
          <w:bCs/>
          <w:sz w:val="24"/>
        </w:rPr>
        <w:t>）和《工业企业知识产权管理指南》（工信部科〔</w:t>
      </w:r>
      <w:r>
        <w:rPr>
          <w:rFonts w:ascii="宋体" w:hAnsi="宋体" w:cs="宋体" w:hint="eastAsia"/>
          <w:bCs/>
          <w:sz w:val="24"/>
        </w:rPr>
        <w:t>2013</w:t>
      </w:r>
      <w:r>
        <w:rPr>
          <w:rFonts w:ascii="宋体" w:hAnsi="宋体" w:cs="宋体" w:hint="eastAsia"/>
          <w:bCs/>
          <w:sz w:val="24"/>
        </w:rPr>
        <w:t>〕</w:t>
      </w:r>
      <w:r>
        <w:rPr>
          <w:rFonts w:ascii="宋体" w:hAnsi="宋体" w:cs="宋体" w:hint="eastAsia"/>
          <w:bCs/>
          <w:sz w:val="24"/>
        </w:rPr>
        <w:t>447</w:t>
      </w:r>
      <w:r>
        <w:rPr>
          <w:rFonts w:ascii="宋体" w:hAnsi="宋体" w:cs="宋体" w:hint="eastAsia"/>
          <w:bCs/>
          <w:sz w:val="24"/>
        </w:rPr>
        <w:t>号）中心及成员单位设立知识产权管理机构，明确各自知识产权管理主体与责任，制定知识产权管理制度，构建知识产权管理体系。</w:t>
      </w:r>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中心面向员工开展知识产权培</w:t>
      </w:r>
      <w:r>
        <w:rPr>
          <w:rFonts w:ascii="宋体" w:hAnsi="宋体" w:cs="宋体" w:hint="eastAsia"/>
          <w:bCs/>
          <w:sz w:val="24"/>
        </w:rPr>
        <w:t>训，并签保密合同</w:t>
      </w:r>
      <w:bookmarkStart w:id="99" w:name="_Toc329161710"/>
      <w:r>
        <w:rPr>
          <w:rFonts w:ascii="宋体" w:hAnsi="宋体" w:cs="宋体" w:hint="eastAsia"/>
          <w:bCs/>
          <w:sz w:val="24"/>
        </w:rPr>
        <w:t>，与研发、生产、销售等关键岗位入职员工签订知识产权声明文件</w:t>
      </w:r>
      <w:r>
        <w:rPr>
          <w:rFonts w:ascii="宋体" w:hAnsi="宋体" w:cs="宋体" w:hint="eastAsia"/>
          <w:bCs/>
          <w:sz w:val="24"/>
        </w:rPr>
        <w:t>,</w:t>
      </w:r>
      <w:r>
        <w:rPr>
          <w:rFonts w:ascii="宋体" w:hAnsi="宋体" w:cs="宋体" w:hint="eastAsia"/>
          <w:bCs/>
          <w:sz w:val="24"/>
        </w:rPr>
        <w:t>与涉及核心技术知识产权员工签订竞业禁止协议。</w:t>
      </w:r>
    </w:p>
    <w:bookmarkEnd w:id="99"/>
    <w:p w:rsidR="007D348D" w:rsidRDefault="00E707EA">
      <w:pPr>
        <w:spacing w:line="360" w:lineRule="auto"/>
        <w:rPr>
          <w:rFonts w:ascii="宋体" w:hAnsi="宋体" w:cs="宋体"/>
          <w:bCs/>
          <w:sz w:val="24"/>
        </w:rPr>
      </w:pPr>
      <w:r>
        <w:rPr>
          <w:rFonts w:ascii="宋体" w:hAnsi="宋体" w:cs="宋体" w:hint="eastAsia"/>
          <w:bCs/>
          <w:sz w:val="24"/>
        </w:rPr>
        <w:lastRenderedPageBreak/>
        <w:t xml:space="preserve">    </w:t>
      </w:r>
      <w:r>
        <w:rPr>
          <w:rFonts w:ascii="宋体" w:hAnsi="宋体" w:cs="宋体" w:hint="eastAsia"/>
          <w:bCs/>
          <w:sz w:val="24"/>
        </w:rPr>
        <w:t>中心按研发经费一定比例安排知识产权经费，成员单位</w:t>
      </w:r>
      <w:r>
        <w:rPr>
          <w:rFonts w:ascii="宋体" w:hAnsi="宋体" w:cs="宋体" w:hint="eastAsia"/>
          <w:bCs/>
          <w:sz w:val="24"/>
        </w:rPr>
        <w:t>配套一定比例的知识产权经费，并</w:t>
      </w:r>
      <w:r>
        <w:rPr>
          <w:rFonts w:ascii="宋体" w:hAnsi="宋体" w:cs="宋体" w:hint="eastAsia"/>
          <w:bCs/>
          <w:sz w:val="24"/>
        </w:rPr>
        <w:t>规范使用</w:t>
      </w:r>
      <w:r>
        <w:rPr>
          <w:rFonts w:ascii="宋体" w:hAnsi="宋体" w:cs="宋体" w:hint="eastAsia"/>
          <w:bCs/>
          <w:sz w:val="24"/>
        </w:rPr>
        <w:t>，</w:t>
      </w:r>
      <w:r>
        <w:rPr>
          <w:rFonts w:ascii="宋体" w:hAnsi="宋体" w:cs="宋体" w:hint="eastAsia"/>
          <w:bCs/>
          <w:sz w:val="24"/>
        </w:rPr>
        <w:t>严格管理经费。</w:t>
      </w:r>
    </w:p>
    <w:p w:rsidR="007D348D" w:rsidRDefault="00E707EA">
      <w:pPr>
        <w:spacing w:line="360" w:lineRule="auto"/>
      </w:pPr>
      <w:r>
        <w:rPr>
          <w:rFonts w:ascii="宋体" w:hAnsi="宋体" w:cs="宋体" w:hint="eastAsia"/>
          <w:bCs/>
          <w:sz w:val="24"/>
        </w:rPr>
        <w:t xml:space="preserve">    </w:t>
      </w:r>
      <w:r>
        <w:rPr>
          <w:rFonts w:ascii="宋体" w:hAnsi="宋体" w:cs="宋体" w:hint="eastAsia"/>
          <w:bCs/>
          <w:sz w:val="24"/>
        </w:rPr>
        <w:t>中心</w:t>
      </w:r>
      <w:r>
        <w:rPr>
          <w:rFonts w:ascii="宋体" w:hAnsi="宋体" w:cs="宋体" w:hint="eastAsia"/>
          <w:bCs/>
          <w:sz w:val="24"/>
        </w:rPr>
        <w:t>实施科研项目全过程知识产权管理。</w:t>
      </w:r>
      <w:r>
        <w:rPr>
          <w:rFonts w:ascii="宋体" w:hAnsi="宋体" w:cs="宋体" w:hint="eastAsia"/>
          <w:bCs/>
          <w:sz w:val="24"/>
        </w:rPr>
        <w:t>依法确定或约定知识产权权属，明确成员单位既有知识产权清单，在研发、转移转化、生产经营、对外合作等</w:t>
      </w:r>
      <w:r>
        <w:rPr>
          <w:rFonts w:ascii="宋体" w:hAnsi="宋体" w:cs="宋体" w:hint="eastAsia"/>
          <w:bCs/>
          <w:sz w:val="24"/>
        </w:rPr>
        <w:t>过程</w:t>
      </w:r>
      <w:r>
        <w:rPr>
          <w:rFonts w:ascii="宋体" w:hAnsi="宋体" w:cs="宋体" w:hint="eastAsia"/>
          <w:bCs/>
          <w:sz w:val="24"/>
        </w:rPr>
        <w:t>中适时监测权属变化，加强知识产权权属管理。中心承担公共财政出资的技术研发或自主研发形成的知识产权归中心所有，中心接受委托开展技术研发形</w:t>
      </w:r>
      <w:r>
        <w:rPr>
          <w:rFonts w:ascii="宋体" w:hAnsi="宋体" w:cs="宋体" w:hint="eastAsia"/>
          <w:bCs/>
          <w:sz w:val="24"/>
        </w:rPr>
        <w:t>成的知识产权由双方约定；成员单位接受中心委托由公共财政出资的技术研发形成的知识产权权属由双方约定，成员单位自主研发形成的知识产权权属归成员单位所有；成员单位之间联合开展技术研发形成的知识产权权属由双方共同所有。</w:t>
      </w:r>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中心制定专利管理办法，规范专利申请维护、预警保护、发明人奖励、档案管理等事项。</w:t>
      </w:r>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中心制定商业秘密管理办法，规范研发、转移转化和生产经营等过程的商业秘密管理。</w:t>
      </w:r>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中心制定商标管理办法，规范国内、国外商标注册申请、商标权使用、著名商标和驰名商标管理等。</w:t>
      </w:r>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中心制定软件著作权、集成电路布图设计管理办法，规范软件著作权、集成电路布图设计权的登记与备案等事项。</w:t>
      </w:r>
    </w:p>
    <w:p w:rsidR="007D348D" w:rsidRDefault="00E707EA">
      <w:pPr>
        <w:spacing w:line="360" w:lineRule="auto"/>
        <w:rPr>
          <w:rFonts w:ascii="宋体" w:hAnsi="宋体" w:cs="宋体"/>
          <w:bCs/>
          <w:sz w:val="24"/>
        </w:rPr>
      </w:pPr>
      <w:r>
        <w:rPr>
          <w:rFonts w:ascii="宋体" w:hAnsi="宋体" w:cs="宋体" w:hint="eastAsia"/>
          <w:bCs/>
          <w:sz w:val="24"/>
        </w:rPr>
        <w:t xml:space="preserve">    </w:t>
      </w:r>
      <w:r>
        <w:rPr>
          <w:rFonts w:ascii="宋体" w:hAnsi="宋体" w:cs="宋体" w:hint="eastAsia"/>
          <w:bCs/>
          <w:sz w:val="24"/>
        </w:rPr>
        <w:t>中心汇集专利、商标、著作权、集成电路布图设计等知识产权信息，面向成员单位开放知识产权基本信息，</w:t>
      </w:r>
      <w:bookmarkStart w:id="100" w:name="_Toc18147"/>
      <w:bookmarkStart w:id="101" w:name="_Toc1347"/>
      <w:r>
        <w:rPr>
          <w:rFonts w:ascii="宋体" w:hAnsi="宋体" w:cs="宋体" w:hint="eastAsia"/>
          <w:bCs/>
          <w:sz w:val="24"/>
        </w:rPr>
        <w:t>设置专人对知识产权档案等进行数字化管理，建立数字管理系统，采取有效技术保护措施，保障中心知识产权电子档案的信息安全。</w:t>
      </w:r>
      <w:bookmarkEnd w:id="100"/>
      <w:bookmarkEnd w:id="101"/>
    </w:p>
    <w:p w:rsidR="007D348D" w:rsidRDefault="00E707EA" w:rsidP="00E4205A">
      <w:pPr>
        <w:pStyle w:val="3"/>
        <w:spacing w:beforeLines="50" w:afterLines="50" w:line="320" w:lineRule="exact"/>
        <w:rPr>
          <w:rFonts w:ascii="黑体" w:eastAsia="黑体" w:hAnsi="黑体"/>
          <w:b w:val="0"/>
          <w:sz w:val="24"/>
          <w:szCs w:val="24"/>
        </w:rPr>
      </w:pPr>
      <w:bookmarkStart w:id="102" w:name="_Toc8305"/>
      <w:r>
        <w:rPr>
          <w:rFonts w:ascii="黑体" w:eastAsia="黑体" w:hAnsi="黑体" w:hint="eastAsia"/>
          <w:b w:val="0"/>
          <w:sz w:val="24"/>
          <w:szCs w:val="24"/>
        </w:rPr>
        <w:t>5.2</w:t>
      </w:r>
      <w:r>
        <w:rPr>
          <w:rFonts w:ascii="黑体" w:eastAsia="黑体" w:hAnsi="黑体" w:hint="eastAsia"/>
          <w:b w:val="0"/>
          <w:sz w:val="24"/>
          <w:szCs w:val="24"/>
        </w:rPr>
        <w:t>知识产权保护</w:t>
      </w:r>
      <w:bookmarkEnd w:id="102"/>
    </w:p>
    <w:p w:rsidR="007D348D" w:rsidRDefault="00E707EA" w:rsidP="00E4205A">
      <w:pPr>
        <w:pStyle w:val="3"/>
        <w:spacing w:beforeLines="50" w:afterLines="50" w:line="320" w:lineRule="exact"/>
        <w:rPr>
          <w:rFonts w:ascii="黑体" w:eastAsia="黑体" w:hAnsi="黑体"/>
          <w:b w:val="0"/>
          <w:sz w:val="24"/>
          <w:szCs w:val="24"/>
        </w:rPr>
      </w:pPr>
      <w:r>
        <w:rPr>
          <w:rFonts w:ascii="黑体" w:eastAsia="黑体" w:hAnsi="黑体" w:hint="eastAsia"/>
          <w:b w:val="0"/>
          <w:sz w:val="24"/>
          <w:szCs w:val="24"/>
        </w:rPr>
        <w:t>5.2.1</w:t>
      </w:r>
      <w:r>
        <w:rPr>
          <w:rFonts w:ascii="黑体" w:eastAsia="黑体" w:hAnsi="黑体" w:hint="eastAsia"/>
          <w:b w:val="0"/>
          <w:sz w:val="24"/>
          <w:szCs w:val="24"/>
        </w:rPr>
        <w:t>构建核心技术保护体系</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中心面向战略必争重点领域，积累和储备前沿技术和产业链关键技术专利，形成一批竞争性专利组合。中心面向优势产业，有效运用专利、著作权、</w:t>
      </w:r>
      <w:r>
        <w:rPr>
          <w:rFonts w:ascii="宋体" w:hAnsi="宋体" w:cs="宋体" w:hint="eastAsia"/>
          <w:bCs/>
          <w:sz w:val="24"/>
        </w:rPr>
        <w:t>集成电路布图设计、商业秘密等不同类型的知识产权进行国内、国际布局，构建关键共性技术保护体系。</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中心及成员单位通过购买、合作、并购重组、专利池建设、知识产权运营等获得关键共性技术知识产权。</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lastRenderedPageBreak/>
        <w:t>中心及成员单位注重发挥标准的引领、保障作用，加强标准中必要专利技术的积累与应用，形成具有产业影响力的关键技术标准。</w:t>
      </w:r>
    </w:p>
    <w:p w:rsidR="007D348D" w:rsidRDefault="00E707EA" w:rsidP="00E4205A">
      <w:pPr>
        <w:pStyle w:val="3"/>
        <w:spacing w:beforeLines="50" w:afterLines="50" w:line="320" w:lineRule="exact"/>
        <w:rPr>
          <w:rFonts w:ascii="黑体" w:eastAsia="黑体" w:hAnsi="黑体"/>
          <w:b w:val="0"/>
          <w:sz w:val="24"/>
          <w:szCs w:val="24"/>
        </w:rPr>
      </w:pPr>
      <w:bookmarkStart w:id="103" w:name="_Toc17284"/>
      <w:bookmarkStart w:id="104" w:name="_Toc12827"/>
      <w:bookmarkStart w:id="105" w:name="_Toc20073"/>
      <w:bookmarkStart w:id="106" w:name="_Toc17562"/>
      <w:bookmarkStart w:id="107" w:name="_Toc4020"/>
      <w:bookmarkStart w:id="108" w:name="_Toc29489"/>
      <w:bookmarkStart w:id="109" w:name="_Toc32482"/>
      <w:bookmarkStart w:id="110" w:name="_Toc25928"/>
      <w:r>
        <w:rPr>
          <w:rFonts w:ascii="黑体" w:eastAsia="黑体" w:hAnsi="黑体" w:hint="eastAsia"/>
          <w:b w:val="0"/>
          <w:sz w:val="24"/>
          <w:szCs w:val="24"/>
        </w:rPr>
        <w:t>5.2.2</w:t>
      </w:r>
      <w:r>
        <w:rPr>
          <w:rFonts w:ascii="黑体" w:eastAsia="黑体" w:hAnsi="黑体" w:hint="eastAsia"/>
          <w:b w:val="0"/>
          <w:sz w:val="24"/>
          <w:szCs w:val="24"/>
        </w:rPr>
        <w:t>知识产权风险防控</w:t>
      </w:r>
    </w:p>
    <w:p w:rsidR="007D348D" w:rsidRDefault="00E707EA" w:rsidP="00E4205A">
      <w:pPr>
        <w:spacing w:line="360" w:lineRule="auto"/>
        <w:ind w:firstLineChars="200" w:firstLine="480"/>
        <w:rPr>
          <w:rFonts w:ascii="宋体" w:hAnsi="宋体" w:cs="宋体"/>
          <w:bCs/>
          <w:sz w:val="24"/>
          <w:highlight w:val="yellow"/>
        </w:rPr>
      </w:pPr>
      <w:r>
        <w:rPr>
          <w:rFonts w:ascii="宋体" w:hAnsi="宋体" w:cs="宋体" w:hint="eastAsia"/>
          <w:bCs/>
          <w:sz w:val="24"/>
        </w:rPr>
        <w:t>中心编制知识产权风险预警与防范实务手册，指导、引导成员单位识别、排查、诊断、研判知识产权风险。</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中心及成员单位立项、研发、采购、生产、销售、售后、合作等活动中，对专利、商标、著作权等知识产权信息进行检索分析与风险评估。</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中心及成员单位加强境外知识产权风险管理，在技术引进、产品出口、境外参会参展等方面，应对知识产权风险。</w:t>
      </w:r>
    </w:p>
    <w:bookmarkEnd w:id="103"/>
    <w:bookmarkEnd w:id="104"/>
    <w:bookmarkEnd w:id="105"/>
    <w:bookmarkEnd w:id="106"/>
    <w:bookmarkEnd w:id="107"/>
    <w:bookmarkEnd w:id="108"/>
    <w:bookmarkEnd w:id="109"/>
    <w:bookmarkEnd w:id="110"/>
    <w:p w:rsidR="007D348D" w:rsidRDefault="00E707EA" w:rsidP="00E4205A">
      <w:pPr>
        <w:spacing w:line="360" w:lineRule="auto"/>
        <w:ind w:firstLineChars="200" w:firstLine="480"/>
        <w:rPr>
          <w:sz w:val="24"/>
        </w:rPr>
      </w:pPr>
      <w:r>
        <w:rPr>
          <w:rFonts w:ascii="宋体" w:hAnsi="宋体" w:cs="宋体" w:hint="eastAsia"/>
          <w:sz w:val="24"/>
        </w:rPr>
        <w:t>中心及成员单位对授权、许可使用的知识产权进行监测，对使用不当行为，</w:t>
      </w:r>
      <w:r>
        <w:rPr>
          <w:rFonts w:hint="eastAsia"/>
          <w:sz w:val="24"/>
        </w:rPr>
        <w:t>及时</w:t>
      </w:r>
      <w:r>
        <w:rPr>
          <w:sz w:val="24"/>
        </w:rPr>
        <w:t>提出</w:t>
      </w:r>
      <w:r>
        <w:rPr>
          <w:rFonts w:hint="eastAsia"/>
          <w:sz w:val="24"/>
        </w:rPr>
        <w:t>预警预报和</w:t>
      </w:r>
      <w:r>
        <w:rPr>
          <w:sz w:val="24"/>
        </w:rPr>
        <w:t>处理建议。</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中心及成员单位对竞争对手滥用知识产权的行为，积极采取以下措施阻止：（</w:t>
      </w:r>
      <w:r>
        <w:rPr>
          <w:rFonts w:ascii="宋体" w:hAnsi="宋体" w:cs="宋体" w:hint="eastAsia"/>
          <w:bCs/>
          <w:sz w:val="24"/>
        </w:rPr>
        <w:t>1</w:t>
      </w:r>
      <w:r>
        <w:rPr>
          <w:rFonts w:ascii="宋体" w:hAnsi="宋体" w:cs="宋体" w:hint="eastAsia"/>
          <w:bCs/>
          <w:sz w:val="24"/>
        </w:rPr>
        <w:t>）及时有效公开不需要申请知识产权的创新成果，阻止他人利用相同成果获取知识产权；（</w:t>
      </w:r>
      <w:r>
        <w:rPr>
          <w:rFonts w:ascii="宋体" w:hAnsi="宋体" w:cs="宋体" w:hint="eastAsia"/>
          <w:bCs/>
          <w:sz w:val="24"/>
        </w:rPr>
        <w:t>2</w:t>
      </w:r>
      <w:r>
        <w:rPr>
          <w:rFonts w:ascii="宋体" w:hAnsi="宋体" w:cs="宋体" w:hint="eastAsia"/>
          <w:bCs/>
          <w:sz w:val="24"/>
        </w:rPr>
        <w:t>）合理规划原始创新、合作研发、并购、受</w:t>
      </w:r>
      <w:r>
        <w:rPr>
          <w:rFonts w:ascii="宋体" w:hAnsi="宋体" w:cs="宋体" w:hint="eastAsia"/>
          <w:bCs/>
          <w:sz w:val="24"/>
        </w:rPr>
        <w:t>让等知识产权获得行为，消除潜在知识产权壁垒；（</w:t>
      </w:r>
      <w:r>
        <w:rPr>
          <w:rFonts w:ascii="宋体" w:hAnsi="宋体" w:cs="宋体" w:hint="eastAsia"/>
          <w:bCs/>
          <w:sz w:val="24"/>
        </w:rPr>
        <w:t>3</w:t>
      </w:r>
      <w:r>
        <w:rPr>
          <w:rFonts w:ascii="宋体" w:hAnsi="宋体" w:cs="宋体" w:hint="eastAsia"/>
          <w:bCs/>
          <w:sz w:val="24"/>
        </w:rPr>
        <w:t>）有针对性地开展</w:t>
      </w:r>
      <w:r>
        <w:rPr>
          <w:rFonts w:hint="eastAsia"/>
          <w:sz w:val="24"/>
        </w:rPr>
        <w:t>主要产品销售地的国际专利申请，加强</w:t>
      </w:r>
      <w:r>
        <w:rPr>
          <w:rFonts w:ascii="宋体" w:hAnsi="宋体" w:cs="宋体" w:hint="eastAsia"/>
          <w:bCs/>
          <w:sz w:val="24"/>
        </w:rPr>
        <w:t>防御性专利布局。</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中心建立重大经济技术活动知识产权评议制度，规范评议范围和程序，对成员单位承担的公共财政出资项目、产业化项目等开展知识产权评议。</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中心建立知识产权信用档案制度，将企业和个人故意侵犯知识产权行为情况纳入信用记录。</w:t>
      </w:r>
    </w:p>
    <w:p w:rsidR="007D348D" w:rsidRDefault="00E707EA" w:rsidP="00E4205A">
      <w:pPr>
        <w:pStyle w:val="3"/>
        <w:spacing w:beforeLines="50" w:afterLines="50" w:line="320" w:lineRule="exact"/>
        <w:rPr>
          <w:rFonts w:ascii="黑体" w:eastAsia="黑体" w:hAnsi="黑体"/>
          <w:b w:val="0"/>
          <w:sz w:val="24"/>
          <w:szCs w:val="24"/>
        </w:rPr>
      </w:pPr>
      <w:bookmarkStart w:id="111" w:name="_Toc22569"/>
      <w:bookmarkStart w:id="112" w:name="_Toc8752"/>
      <w:bookmarkStart w:id="113" w:name="_Toc304"/>
      <w:bookmarkStart w:id="114" w:name="_Toc4481"/>
      <w:bookmarkStart w:id="115" w:name="_Toc29988"/>
      <w:bookmarkStart w:id="116" w:name="_Toc22563"/>
      <w:bookmarkStart w:id="117" w:name="_Toc2478"/>
      <w:bookmarkStart w:id="118" w:name="_Toc17324"/>
      <w:r>
        <w:rPr>
          <w:rFonts w:ascii="黑体" w:eastAsia="黑体" w:hAnsi="黑体" w:hint="eastAsia"/>
          <w:b w:val="0"/>
          <w:sz w:val="24"/>
          <w:szCs w:val="24"/>
        </w:rPr>
        <w:t>5.2.3</w:t>
      </w:r>
      <w:bookmarkEnd w:id="111"/>
      <w:bookmarkEnd w:id="112"/>
      <w:bookmarkEnd w:id="113"/>
      <w:bookmarkEnd w:id="114"/>
      <w:bookmarkEnd w:id="115"/>
      <w:bookmarkEnd w:id="116"/>
      <w:bookmarkEnd w:id="117"/>
      <w:bookmarkEnd w:id="118"/>
      <w:r>
        <w:rPr>
          <w:rFonts w:ascii="黑体" w:eastAsia="黑体" w:hAnsi="黑体" w:hint="eastAsia"/>
          <w:b w:val="0"/>
          <w:sz w:val="24"/>
          <w:szCs w:val="24"/>
        </w:rPr>
        <w:t>维护中心合法权益</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中心及成员单位综合运用和解、调解、仲裁、请求行政执法部门处理或提起法律诉讼等方式，解决知识产权争议纠纷，维护合法权益</w:t>
      </w:r>
      <w:r>
        <w:rPr>
          <w:rFonts w:ascii="宋体" w:hAnsi="宋体" w:cs="宋体" w:hint="eastAsia"/>
          <w:color w:val="000000"/>
          <w:kern w:val="0"/>
          <w:sz w:val="24"/>
        </w:rPr>
        <w:t>。</w:t>
      </w:r>
    </w:p>
    <w:p w:rsidR="007D348D" w:rsidRDefault="00E707EA" w:rsidP="00E4205A">
      <w:pPr>
        <w:spacing w:line="360" w:lineRule="auto"/>
        <w:ind w:firstLineChars="200" w:firstLine="480"/>
        <w:rPr>
          <w:sz w:val="24"/>
        </w:rPr>
      </w:pPr>
      <w:r>
        <w:rPr>
          <w:rFonts w:ascii="宋体" w:hAnsi="宋体" w:cs="宋体" w:hint="eastAsia"/>
          <w:bCs/>
          <w:sz w:val="24"/>
        </w:rPr>
        <w:t>中心及成员单位充分利用专利研发、设计等文档，必要时对不当专利申请进行异议或无效宣告请求。</w:t>
      </w:r>
      <w:r>
        <w:rPr>
          <w:rFonts w:hint="eastAsia"/>
          <w:sz w:val="24"/>
        </w:rPr>
        <w:t>主动监测专利实施状况，采取措施防范他人非法生产制造、使用、销售、进口专利产品等侵权行为。</w:t>
      </w:r>
    </w:p>
    <w:p w:rsidR="007D348D" w:rsidRDefault="00E707EA" w:rsidP="00E4205A">
      <w:pPr>
        <w:spacing w:line="360" w:lineRule="auto"/>
        <w:ind w:firstLineChars="200" w:firstLine="480"/>
        <w:rPr>
          <w:rFonts w:ascii="宋体" w:hAnsi="宋体"/>
          <w:sz w:val="24"/>
        </w:rPr>
      </w:pPr>
      <w:r>
        <w:rPr>
          <w:rFonts w:ascii="宋体" w:hAnsi="宋体" w:cs="宋体" w:hint="eastAsia"/>
          <w:sz w:val="24"/>
        </w:rPr>
        <w:t>中心及成员单位对被授权使用、许可使用注册商标进行监测，</w:t>
      </w:r>
      <w:r>
        <w:rPr>
          <w:rFonts w:ascii="宋体" w:hAnsi="宋体" w:cs="宋体" w:hint="eastAsia"/>
          <w:bCs/>
          <w:sz w:val="24"/>
        </w:rPr>
        <w:t>对抢注、不正当注册</w:t>
      </w:r>
      <w:r>
        <w:rPr>
          <w:rFonts w:ascii="宋体" w:hAnsi="宋体" w:cs="宋体" w:hint="eastAsia"/>
          <w:bCs/>
          <w:sz w:val="24"/>
        </w:rPr>
        <w:t>、</w:t>
      </w:r>
      <w:r>
        <w:rPr>
          <w:rFonts w:ascii="宋体" w:hAnsi="宋体" w:cs="宋体" w:hint="eastAsia"/>
          <w:bCs/>
          <w:sz w:val="24"/>
        </w:rPr>
        <w:t>近似</w:t>
      </w:r>
      <w:r>
        <w:rPr>
          <w:rFonts w:ascii="宋体" w:hAnsi="宋体" w:cs="宋体" w:hint="eastAsia"/>
          <w:bCs/>
          <w:sz w:val="24"/>
        </w:rPr>
        <w:t>使用商标等</w:t>
      </w:r>
      <w:r>
        <w:rPr>
          <w:rFonts w:ascii="宋体" w:hAnsi="宋体" w:cs="宋体" w:hint="eastAsia"/>
          <w:bCs/>
          <w:sz w:val="24"/>
        </w:rPr>
        <w:t>侵权行为，及时提出异议、争议申请，提起诉讼，保护商标专有权。</w:t>
      </w:r>
    </w:p>
    <w:p w:rsidR="007D348D" w:rsidRDefault="00E707EA" w:rsidP="00E4205A">
      <w:pPr>
        <w:spacing w:line="360" w:lineRule="auto"/>
        <w:ind w:firstLineChars="200" w:firstLine="480"/>
        <w:rPr>
          <w:sz w:val="24"/>
        </w:rPr>
      </w:pPr>
      <w:r>
        <w:rPr>
          <w:rFonts w:hint="eastAsia"/>
          <w:sz w:val="24"/>
        </w:rPr>
        <w:lastRenderedPageBreak/>
        <w:t>中心及成员单位及时进行著作权备案或登记，采取必要的技术手段防范非法复制、盗版等著作权侵权行为。</w:t>
      </w:r>
    </w:p>
    <w:p w:rsidR="007D348D" w:rsidRDefault="00E707EA" w:rsidP="00E4205A">
      <w:pPr>
        <w:spacing w:line="360" w:lineRule="auto"/>
        <w:ind w:firstLineChars="200" w:firstLine="480"/>
        <w:rPr>
          <w:rFonts w:ascii="宋体" w:hAnsi="宋体" w:cs="宋体"/>
          <w:bCs/>
          <w:szCs w:val="21"/>
        </w:rPr>
      </w:pPr>
      <w:r>
        <w:rPr>
          <w:rFonts w:ascii="宋体" w:hAnsi="宋体" w:cs="宋体" w:hint="eastAsia"/>
          <w:bCs/>
          <w:sz w:val="24"/>
        </w:rPr>
        <w:t>中心及成员单位加强商业秘密保护和维权，制定泄密事件应急处置预案。对侵犯中心及成员单位商业</w:t>
      </w:r>
      <w:r>
        <w:rPr>
          <w:rFonts w:ascii="宋体" w:hAnsi="宋体" w:cs="宋体" w:hint="eastAsia"/>
          <w:bCs/>
          <w:sz w:val="24"/>
        </w:rPr>
        <w:t>秘密的行为，依法主张权利，采取措施制止侵权，避免和减少损失。</w:t>
      </w:r>
    </w:p>
    <w:p w:rsidR="007D348D" w:rsidRDefault="00E707EA" w:rsidP="00E4205A">
      <w:pPr>
        <w:pStyle w:val="3"/>
        <w:spacing w:beforeLines="50" w:afterLines="50" w:line="320" w:lineRule="exact"/>
        <w:rPr>
          <w:rFonts w:ascii="黑体" w:eastAsia="黑体" w:hAnsi="黑体"/>
          <w:b w:val="0"/>
          <w:sz w:val="24"/>
          <w:szCs w:val="24"/>
        </w:rPr>
      </w:pPr>
      <w:bookmarkStart w:id="119" w:name="_Toc6615"/>
      <w:bookmarkStart w:id="120" w:name="_Toc32442"/>
      <w:bookmarkStart w:id="121" w:name="_Toc29945"/>
      <w:bookmarkStart w:id="122" w:name="_Toc6969"/>
      <w:bookmarkStart w:id="123" w:name="_Toc20140"/>
      <w:bookmarkStart w:id="124" w:name="_Toc21191"/>
      <w:bookmarkStart w:id="125" w:name="_Toc19328"/>
      <w:bookmarkStart w:id="126" w:name="_Toc24532"/>
      <w:bookmarkStart w:id="127" w:name="_Toc3143"/>
      <w:bookmarkStart w:id="128" w:name="_Toc11710"/>
      <w:bookmarkStart w:id="129" w:name="_Toc26117"/>
      <w:r>
        <w:rPr>
          <w:rFonts w:ascii="黑体" w:eastAsia="黑体" w:hAnsi="黑体" w:hint="eastAsia"/>
          <w:b w:val="0"/>
          <w:sz w:val="24"/>
          <w:szCs w:val="24"/>
        </w:rPr>
        <w:t>5.3</w:t>
      </w:r>
      <w:r>
        <w:rPr>
          <w:rFonts w:ascii="黑体" w:eastAsia="黑体" w:hAnsi="黑体" w:hint="eastAsia"/>
          <w:b w:val="0"/>
          <w:sz w:val="24"/>
          <w:szCs w:val="24"/>
        </w:rPr>
        <w:t>知识</w:t>
      </w:r>
      <w:bookmarkEnd w:id="119"/>
      <w:bookmarkEnd w:id="120"/>
      <w:bookmarkEnd w:id="121"/>
      <w:bookmarkEnd w:id="122"/>
      <w:bookmarkEnd w:id="123"/>
      <w:bookmarkEnd w:id="124"/>
      <w:bookmarkEnd w:id="125"/>
      <w:bookmarkEnd w:id="126"/>
      <w:bookmarkEnd w:id="127"/>
      <w:bookmarkEnd w:id="128"/>
      <w:r>
        <w:rPr>
          <w:rFonts w:ascii="黑体" w:eastAsia="黑体" w:hAnsi="黑体" w:hint="eastAsia"/>
          <w:b w:val="0"/>
          <w:sz w:val="24"/>
          <w:szCs w:val="24"/>
        </w:rPr>
        <w:t>产权转移转化</w:t>
      </w:r>
      <w:bookmarkEnd w:id="129"/>
    </w:p>
    <w:p w:rsidR="007D348D" w:rsidRDefault="00E707EA" w:rsidP="00E4205A">
      <w:pPr>
        <w:pStyle w:val="3"/>
        <w:spacing w:beforeLines="50" w:afterLines="50" w:line="320" w:lineRule="exact"/>
        <w:rPr>
          <w:rFonts w:ascii="黑体" w:eastAsia="黑体" w:hAnsi="黑体"/>
          <w:b w:val="0"/>
          <w:sz w:val="24"/>
          <w:szCs w:val="24"/>
        </w:rPr>
      </w:pPr>
      <w:bookmarkStart w:id="130" w:name="_Toc9595"/>
      <w:bookmarkStart w:id="131" w:name="_Toc2069"/>
      <w:bookmarkStart w:id="132" w:name="_Toc6617"/>
      <w:bookmarkStart w:id="133" w:name="_Toc2273"/>
      <w:bookmarkStart w:id="134" w:name="_Toc3183"/>
      <w:bookmarkStart w:id="135" w:name="_Toc15965"/>
      <w:bookmarkStart w:id="136" w:name="_Toc20972"/>
      <w:bookmarkStart w:id="137" w:name="_Toc9437"/>
      <w:bookmarkStart w:id="138" w:name="_Toc25582"/>
      <w:bookmarkStart w:id="139" w:name="_Toc13623"/>
      <w:r>
        <w:rPr>
          <w:rFonts w:ascii="黑体" w:eastAsia="黑体" w:hAnsi="黑体" w:hint="eastAsia"/>
          <w:b w:val="0"/>
          <w:sz w:val="24"/>
          <w:szCs w:val="24"/>
        </w:rPr>
        <w:t>5.3.1</w:t>
      </w:r>
      <w:r>
        <w:rPr>
          <w:rFonts w:ascii="黑体" w:eastAsia="黑体" w:hAnsi="黑体" w:hint="eastAsia"/>
          <w:b w:val="0"/>
          <w:sz w:val="24"/>
          <w:szCs w:val="24"/>
        </w:rPr>
        <w:t>建立知识产权转移转化机制</w:t>
      </w:r>
    </w:p>
    <w:p w:rsidR="007D348D" w:rsidRDefault="00E707EA" w:rsidP="00E4205A">
      <w:pPr>
        <w:spacing w:line="360" w:lineRule="auto"/>
        <w:ind w:firstLineChars="200" w:firstLine="480"/>
        <w:rPr>
          <w:sz w:val="24"/>
        </w:rPr>
      </w:pPr>
      <w:r>
        <w:rPr>
          <w:rFonts w:hint="eastAsia"/>
          <w:sz w:val="24"/>
        </w:rPr>
        <w:t>中心制定知识产权转移转化政策，明确转移转化原则，确立转移转化主体。建立健全知识产权转移转化的许可转让、收益分配、奖励报酬等制度。依据国家和地方有关规定，对职务成果完成人和为成果转化作出重要贡献的人员给予奖励。</w:t>
      </w:r>
    </w:p>
    <w:p w:rsidR="007D348D" w:rsidRDefault="00E707EA">
      <w:pPr>
        <w:spacing w:line="360" w:lineRule="auto"/>
        <w:ind w:firstLine="420"/>
        <w:rPr>
          <w:sz w:val="24"/>
        </w:rPr>
      </w:pPr>
      <w:r>
        <w:rPr>
          <w:rFonts w:hint="eastAsia"/>
          <w:sz w:val="24"/>
        </w:rPr>
        <w:t>中心在技术研发和创新成果推广应用中，需要使用成员单位既有知识产权的，既有知识产权的所有人应许可使用，但中心</w:t>
      </w:r>
      <w:r>
        <w:rPr>
          <w:rFonts w:hint="eastAsia"/>
          <w:sz w:val="24"/>
        </w:rPr>
        <w:t>应</w:t>
      </w:r>
      <w:r>
        <w:rPr>
          <w:rFonts w:hint="eastAsia"/>
          <w:sz w:val="24"/>
        </w:rPr>
        <w:t>明确使用范围</w:t>
      </w:r>
      <w:r>
        <w:rPr>
          <w:rFonts w:hint="eastAsia"/>
          <w:sz w:val="24"/>
        </w:rPr>
        <w:t>，</w:t>
      </w:r>
      <w:r>
        <w:rPr>
          <w:rFonts w:hint="eastAsia"/>
          <w:sz w:val="24"/>
        </w:rPr>
        <w:t>双方约定</w:t>
      </w:r>
      <w:r>
        <w:rPr>
          <w:rFonts w:hint="eastAsia"/>
          <w:sz w:val="24"/>
        </w:rPr>
        <w:t>使用费用</w:t>
      </w:r>
      <w:r>
        <w:rPr>
          <w:rFonts w:hint="eastAsia"/>
          <w:sz w:val="24"/>
        </w:rPr>
        <w:t>。</w:t>
      </w:r>
    </w:p>
    <w:p w:rsidR="007D348D" w:rsidRDefault="00E707EA" w:rsidP="00E4205A">
      <w:pPr>
        <w:spacing w:line="360" w:lineRule="auto"/>
        <w:ind w:firstLineChars="200" w:firstLine="480"/>
        <w:rPr>
          <w:sz w:val="24"/>
        </w:rPr>
      </w:pPr>
      <w:r>
        <w:rPr>
          <w:rFonts w:hint="eastAsia"/>
          <w:sz w:val="24"/>
        </w:rPr>
        <w:t>中心及成员单位积极利用基金、贷款风险补</w:t>
      </w:r>
      <w:r>
        <w:rPr>
          <w:rFonts w:hint="eastAsia"/>
          <w:sz w:val="24"/>
        </w:rPr>
        <w:t>偿、种子项目融资等方式，吸引社会资本投入，形成知识产权转移转化多元化投入渠道，建立成员单位间利益分享、风险分担的知识产权转移转化机制。</w:t>
      </w:r>
    </w:p>
    <w:p w:rsidR="007D348D" w:rsidRDefault="00E707EA" w:rsidP="00E4205A">
      <w:pPr>
        <w:spacing w:line="360" w:lineRule="auto"/>
        <w:ind w:firstLineChars="200" w:firstLine="480"/>
        <w:rPr>
          <w:sz w:val="24"/>
        </w:rPr>
      </w:pPr>
      <w:r>
        <w:rPr>
          <w:rFonts w:hint="eastAsia"/>
          <w:sz w:val="24"/>
        </w:rPr>
        <w:t>中心依托产业技术联盟，面向行业联合骨干企业和高校、科研院所，探索形成市场化的知识产权转移扩散模式。</w:t>
      </w:r>
      <w:bookmarkStart w:id="140" w:name="_GoBack"/>
      <w:bookmarkEnd w:id="140"/>
    </w:p>
    <w:p w:rsidR="007D348D" w:rsidRDefault="00E707EA" w:rsidP="00E4205A">
      <w:pPr>
        <w:pStyle w:val="3"/>
        <w:spacing w:beforeLines="50" w:afterLines="50" w:line="320" w:lineRule="exact"/>
        <w:rPr>
          <w:rFonts w:ascii="黑体" w:eastAsia="黑体" w:hAnsi="黑体"/>
          <w:b w:val="0"/>
          <w:sz w:val="24"/>
          <w:szCs w:val="24"/>
        </w:rPr>
      </w:pPr>
      <w:r>
        <w:rPr>
          <w:rFonts w:ascii="黑体" w:eastAsia="黑体" w:hAnsi="黑体" w:hint="eastAsia"/>
          <w:b w:val="0"/>
          <w:sz w:val="24"/>
          <w:szCs w:val="24"/>
        </w:rPr>
        <w:t>5.3.2</w:t>
      </w:r>
      <w:r>
        <w:rPr>
          <w:rFonts w:ascii="黑体" w:eastAsia="黑体" w:hAnsi="黑体" w:hint="eastAsia"/>
          <w:b w:val="0"/>
          <w:sz w:val="24"/>
          <w:szCs w:val="24"/>
        </w:rPr>
        <w:t>强化知识产权转移转化</w:t>
      </w:r>
    </w:p>
    <w:p w:rsidR="007D348D" w:rsidRDefault="00E707EA" w:rsidP="00E4205A">
      <w:pPr>
        <w:spacing w:line="360" w:lineRule="auto"/>
        <w:ind w:firstLineChars="200" w:firstLine="480"/>
        <w:rPr>
          <w:sz w:val="24"/>
        </w:rPr>
      </w:pPr>
      <w:r>
        <w:rPr>
          <w:rFonts w:hint="eastAsia"/>
          <w:sz w:val="24"/>
        </w:rPr>
        <w:t>中心围绕重点领域和关键环节汇集、加工、筛选一批符合产业转型升级方向的</w:t>
      </w:r>
      <w:r>
        <w:rPr>
          <w:rFonts w:hint="eastAsia"/>
          <w:sz w:val="24"/>
        </w:rPr>
        <w:t>以</w:t>
      </w:r>
      <w:r>
        <w:rPr>
          <w:rFonts w:hint="eastAsia"/>
          <w:sz w:val="24"/>
        </w:rPr>
        <w:t>知识产权</w:t>
      </w:r>
      <w:r>
        <w:rPr>
          <w:rFonts w:hint="eastAsia"/>
          <w:sz w:val="24"/>
        </w:rPr>
        <w:t>为核心的创新成果</w:t>
      </w:r>
      <w:r>
        <w:rPr>
          <w:rFonts w:hint="eastAsia"/>
          <w:sz w:val="24"/>
        </w:rPr>
        <w:t>，</w:t>
      </w:r>
      <w:r>
        <w:rPr>
          <w:rFonts w:hint="eastAsia"/>
          <w:sz w:val="24"/>
        </w:rPr>
        <w:t>适时发布转移转化目录。</w:t>
      </w:r>
    </w:p>
    <w:p w:rsidR="007D348D" w:rsidRDefault="00E707EA" w:rsidP="00E4205A">
      <w:pPr>
        <w:spacing w:line="360" w:lineRule="auto"/>
        <w:ind w:firstLineChars="200" w:firstLine="480"/>
        <w:rPr>
          <w:sz w:val="24"/>
        </w:rPr>
      </w:pPr>
      <w:r>
        <w:rPr>
          <w:rFonts w:ascii="宋体" w:hAnsi="宋体" w:cs="宋体" w:hint="eastAsia"/>
          <w:bCs/>
          <w:sz w:val="24"/>
        </w:rPr>
        <w:t>中心及成员单位明确知识产权许可转让范围、对象、期限、收费标准、程序等。中心制作成员单位知识产权许可转让协议示范文本。中心及成员单位</w:t>
      </w:r>
      <w:r>
        <w:rPr>
          <w:rFonts w:hint="eastAsia"/>
          <w:sz w:val="24"/>
        </w:rPr>
        <w:t>涉及国家秘密、国家安全的成果许可转让依规定审批或备案，并根据情况及时做好解密、降密工作。</w:t>
      </w:r>
    </w:p>
    <w:p w:rsidR="007D348D" w:rsidRDefault="00E707EA" w:rsidP="00E4205A">
      <w:pPr>
        <w:spacing w:line="360" w:lineRule="auto"/>
        <w:ind w:firstLineChars="200" w:firstLine="480"/>
        <w:rPr>
          <w:sz w:val="24"/>
        </w:rPr>
      </w:pPr>
      <w:r>
        <w:rPr>
          <w:rFonts w:ascii="宋体" w:hAnsi="宋体" w:cs="宋体" w:hint="eastAsia"/>
          <w:bCs/>
          <w:sz w:val="24"/>
        </w:rPr>
        <w:t>中心积极主导国际标准、国家标准、行业标准和团体标准的制订，强化标准的实施与推广。中心及成员单位</w:t>
      </w:r>
      <w:r>
        <w:rPr>
          <w:rFonts w:hint="eastAsia"/>
          <w:sz w:val="24"/>
        </w:rPr>
        <w:t>制定标准必要专利的公平、合理、无歧视许可政策，积极利用交叉许可、授权转让形成竞争优势。</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中心集聚成果、资金、人才、服务、政策等各类资源，推动成员单位面向中小微企业开展知识产权转移转化。充分发挥产业联</w:t>
      </w:r>
      <w:r>
        <w:rPr>
          <w:rFonts w:ascii="宋体" w:hAnsi="宋体" w:cs="宋体" w:hint="eastAsia"/>
          <w:bCs/>
          <w:sz w:val="24"/>
        </w:rPr>
        <w:t>盟的作用，推广知识产权产品、</w:t>
      </w:r>
      <w:r>
        <w:rPr>
          <w:rFonts w:ascii="宋体" w:hAnsi="宋体" w:cs="宋体" w:hint="eastAsia"/>
          <w:bCs/>
          <w:sz w:val="24"/>
        </w:rPr>
        <w:lastRenderedPageBreak/>
        <w:t>服务或技术方案。</w:t>
      </w:r>
    </w:p>
    <w:p w:rsidR="007D348D" w:rsidRDefault="00E707EA" w:rsidP="00E4205A">
      <w:pPr>
        <w:pStyle w:val="3"/>
        <w:spacing w:beforeLines="50" w:afterLines="50" w:line="320" w:lineRule="exact"/>
        <w:rPr>
          <w:rFonts w:ascii="黑体" w:eastAsia="黑体" w:hAnsi="黑体"/>
          <w:b w:val="0"/>
          <w:sz w:val="24"/>
          <w:szCs w:val="24"/>
        </w:rPr>
      </w:pPr>
      <w:bookmarkStart w:id="141" w:name="_Toc20307"/>
      <w:bookmarkStart w:id="142" w:name="_Toc24313"/>
      <w:bookmarkStart w:id="143" w:name="_Toc6226"/>
      <w:bookmarkStart w:id="144" w:name="_Toc15914"/>
      <w:bookmarkStart w:id="145" w:name="_Toc9674"/>
      <w:bookmarkStart w:id="146" w:name="_Toc2415"/>
      <w:bookmarkStart w:id="147" w:name="_Toc22592"/>
      <w:bookmarkStart w:id="148" w:name="_Toc30281"/>
      <w:bookmarkStart w:id="149" w:name="_Toc1911"/>
      <w:bookmarkStart w:id="150" w:name="_Toc1174"/>
      <w:bookmarkStart w:id="151" w:name="_Toc13885"/>
      <w:bookmarkEnd w:id="130"/>
      <w:bookmarkEnd w:id="131"/>
      <w:bookmarkEnd w:id="132"/>
      <w:bookmarkEnd w:id="133"/>
      <w:bookmarkEnd w:id="134"/>
      <w:bookmarkEnd w:id="135"/>
      <w:bookmarkEnd w:id="136"/>
      <w:bookmarkEnd w:id="137"/>
      <w:bookmarkEnd w:id="138"/>
      <w:bookmarkEnd w:id="139"/>
      <w:r>
        <w:rPr>
          <w:rFonts w:ascii="黑体" w:eastAsia="黑体" w:hAnsi="黑体" w:hint="eastAsia"/>
          <w:b w:val="0"/>
          <w:sz w:val="24"/>
          <w:szCs w:val="24"/>
        </w:rPr>
        <w:t>5.4</w:t>
      </w:r>
      <w:r>
        <w:rPr>
          <w:rFonts w:ascii="黑体" w:eastAsia="黑体" w:hAnsi="黑体" w:hint="eastAsia"/>
          <w:b w:val="0"/>
          <w:sz w:val="24"/>
          <w:szCs w:val="24"/>
        </w:rPr>
        <w:t>知识产权支撑服务</w:t>
      </w:r>
      <w:bookmarkEnd w:id="141"/>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中心集成创新和知识产权资源，建立专利技术数据库，面向成员单位和行业发布知识产权服务信息，强化产业知识产权服务支撑。</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中心面向成员单位和行业提供创新成果信息查询，开展知识产权信息检索服务，实现中心创新成果和知识产权信息共享。</w:t>
      </w:r>
    </w:p>
    <w:p w:rsidR="007D348D" w:rsidRDefault="00E707EA" w:rsidP="00E4205A">
      <w:pPr>
        <w:spacing w:line="360" w:lineRule="auto"/>
        <w:ind w:firstLineChars="200" w:firstLine="480"/>
        <w:rPr>
          <w:rFonts w:ascii="Times New Roman" w:hAnsi="宋体" w:cs="Times New Roman"/>
          <w:bCs/>
          <w:sz w:val="24"/>
        </w:rPr>
      </w:pPr>
      <w:r>
        <w:rPr>
          <w:rFonts w:ascii="宋体" w:hAnsi="宋体" w:cs="宋体" w:hint="eastAsia"/>
          <w:bCs/>
          <w:sz w:val="24"/>
        </w:rPr>
        <w:t>中心依托产业技术联盟，联合专业机构，</w:t>
      </w:r>
      <w:r>
        <w:rPr>
          <w:rFonts w:ascii="Times New Roman" w:hAnsi="宋体" w:cs="Times New Roman"/>
          <w:bCs/>
          <w:sz w:val="24"/>
        </w:rPr>
        <w:t>监测产业知识产权风险，</w:t>
      </w:r>
      <w:r>
        <w:rPr>
          <w:rFonts w:ascii="宋体" w:hAnsi="宋体" w:cs="宋体" w:hint="eastAsia"/>
          <w:bCs/>
          <w:sz w:val="24"/>
        </w:rPr>
        <w:t>发布产业知识产权竞争动态和发展态势报告，</w:t>
      </w:r>
      <w:r>
        <w:rPr>
          <w:rFonts w:ascii="Times New Roman" w:hAnsi="宋体" w:cs="Times New Roman" w:hint="eastAsia"/>
          <w:bCs/>
          <w:sz w:val="24"/>
        </w:rPr>
        <w:t>开展</w:t>
      </w:r>
      <w:r>
        <w:rPr>
          <w:rFonts w:ascii="Times New Roman" w:hAnsi="宋体" w:cs="Times New Roman"/>
          <w:bCs/>
          <w:sz w:val="24"/>
        </w:rPr>
        <w:t>产业知识产权风险预警</w:t>
      </w:r>
      <w:r>
        <w:rPr>
          <w:rFonts w:ascii="Times New Roman" w:hAnsi="宋体" w:cs="Times New Roman" w:hint="eastAsia"/>
          <w:bCs/>
          <w:sz w:val="24"/>
        </w:rPr>
        <w:t>和</w:t>
      </w:r>
      <w:r>
        <w:rPr>
          <w:rFonts w:ascii="Times New Roman" w:hAnsi="宋体" w:cs="Times New Roman"/>
          <w:bCs/>
          <w:sz w:val="24"/>
        </w:rPr>
        <w:t>风险联合应对</w:t>
      </w:r>
      <w:r>
        <w:rPr>
          <w:rFonts w:ascii="Times New Roman" w:hAnsi="宋体" w:cs="Times New Roman" w:hint="eastAsia"/>
          <w:bCs/>
          <w:sz w:val="24"/>
        </w:rPr>
        <w:t>。</w:t>
      </w:r>
    </w:p>
    <w:p w:rsidR="007D348D" w:rsidRDefault="00E707EA" w:rsidP="00E4205A">
      <w:pPr>
        <w:spacing w:line="360" w:lineRule="auto"/>
        <w:ind w:firstLineChars="200" w:firstLine="480"/>
        <w:rPr>
          <w:sz w:val="24"/>
        </w:rPr>
      </w:pPr>
      <w:r>
        <w:rPr>
          <w:rFonts w:ascii="宋体" w:hAnsi="宋体" w:cs="宋体" w:hint="eastAsia"/>
          <w:bCs/>
          <w:sz w:val="24"/>
        </w:rPr>
        <w:t>中心结合国际竞争需要，联合专业机构，编制企业知识产权风险海外应对手册，指导产业联盟、成员单位和行业骨干企业</w:t>
      </w:r>
      <w:r>
        <w:rPr>
          <w:rFonts w:hint="eastAsia"/>
          <w:sz w:val="24"/>
        </w:rPr>
        <w:t>应对</w:t>
      </w:r>
      <w:r>
        <w:rPr>
          <w:rFonts w:ascii="宋体" w:hAnsi="宋体" w:cs="宋体" w:hint="eastAsia"/>
          <w:bCs/>
          <w:sz w:val="24"/>
        </w:rPr>
        <w:t>“走出去”的</w:t>
      </w:r>
      <w:r>
        <w:rPr>
          <w:rFonts w:hint="eastAsia"/>
          <w:sz w:val="24"/>
        </w:rPr>
        <w:t>知识产权海外风险。</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中心面向中小微企业开展创业辅导、转移转化咨询和实务培训等知识产权服务。</w:t>
      </w:r>
    </w:p>
    <w:p w:rsidR="007D348D" w:rsidRDefault="00E707EA" w:rsidP="00E4205A">
      <w:pPr>
        <w:spacing w:line="360" w:lineRule="auto"/>
        <w:ind w:firstLineChars="200" w:firstLine="480"/>
        <w:rPr>
          <w:rFonts w:ascii="宋体" w:hAnsi="宋体" w:cs="宋体"/>
          <w:bCs/>
          <w:sz w:val="24"/>
        </w:rPr>
      </w:pPr>
      <w:r>
        <w:rPr>
          <w:rFonts w:ascii="宋体" w:hAnsi="宋体" w:cs="宋体" w:hint="eastAsia"/>
          <w:bCs/>
          <w:sz w:val="24"/>
        </w:rPr>
        <w:t>中心面向成员单位和行业培养知识产权高端实务人才，形成具有行业特色的复合型知识产权实务人才实训基地。</w:t>
      </w:r>
    </w:p>
    <w:p w:rsidR="007D348D" w:rsidRDefault="007D348D">
      <w:pPr>
        <w:spacing w:line="320" w:lineRule="exact"/>
        <w:ind w:firstLineChars="200" w:firstLine="420"/>
        <w:rPr>
          <w:rFonts w:ascii="宋体" w:hAnsi="宋体" w:cs="宋体"/>
          <w:bCs/>
          <w:szCs w:val="21"/>
        </w:rPr>
      </w:pPr>
    </w:p>
    <w:p w:rsidR="007D348D" w:rsidRDefault="00E707EA">
      <w:pPr>
        <w:pStyle w:val="2"/>
        <w:spacing w:line="320" w:lineRule="exact"/>
        <w:rPr>
          <w:rFonts w:ascii="黑体" w:hAnsi="黑体"/>
          <w:sz w:val="28"/>
          <w:szCs w:val="28"/>
        </w:rPr>
      </w:pPr>
      <w:bookmarkStart w:id="152" w:name="_Toc31242"/>
      <w:bookmarkStart w:id="153" w:name="_Toc28155"/>
      <w:bookmarkEnd w:id="142"/>
      <w:bookmarkEnd w:id="143"/>
      <w:bookmarkEnd w:id="144"/>
      <w:bookmarkEnd w:id="145"/>
      <w:bookmarkEnd w:id="146"/>
      <w:bookmarkEnd w:id="147"/>
      <w:bookmarkEnd w:id="148"/>
      <w:bookmarkEnd w:id="149"/>
      <w:bookmarkEnd w:id="150"/>
      <w:bookmarkEnd w:id="151"/>
      <w:r>
        <w:rPr>
          <w:rFonts w:ascii="黑体" w:hAnsi="黑体" w:hint="eastAsia"/>
          <w:sz w:val="28"/>
          <w:szCs w:val="28"/>
        </w:rPr>
        <w:t>6</w:t>
      </w:r>
      <w:r>
        <w:rPr>
          <w:rFonts w:ascii="黑体" w:hAnsi="黑体" w:hint="eastAsia"/>
          <w:sz w:val="28"/>
          <w:szCs w:val="28"/>
        </w:rPr>
        <w:t>评价与改进</w:t>
      </w:r>
      <w:bookmarkEnd w:id="152"/>
      <w:bookmarkEnd w:id="153"/>
    </w:p>
    <w:p w:rsidR="007D348D" w:rsidRDefault="007D348D">
      <w:pPr>
        <w:spacing w:line="320" w:lineRule="exact"/>
        <w:ind w:firstLineChars="200" w:firstLine="420"/>
        <w:rPr>
          <w:rFonts w:ascii="宋体" w:hAnsi="宋体" w:cs="宋体"/>
          <w:bCs/>
          <w:szCs w:val="21"/>
        </w:rPr>
      </w:pPr>
    </w:p>
    <w:p w:rsidR="007D348D" w:rsidRDefault="00E707EA">
      <w:pPr>
        <w:spacing w:line="360" w:lineRule="auto"/>
        <w:ind w:firstLineChars="200" w:firstLine="480"/>
        <w:rPr>
          <w:rFonts w:ascii="宋体" w:hAnsi="宋体" w:cs="宋体"/>
          <w:bCs/>
          <w:sz w:val="24"/>
        </w:rPr>
      </w:pPr>
      <w:r>
        <w:rPr>
          <w:rFonts w:ascii="宋体" w:hAnsi="宋体" w:cs="宋体" w:hint="eastAsia"/>
          <w:bCs/>
          <w:sz w:val="24"/>
        </w:rPr>
        <w:t>中心及成员单位根据实施情况，适时调整知识产权运用目标，改进、完善知识产权管理体系和运用机制。</w:t>
      </w:r>
    </w:p>
    <w:sectPr w:rsidR="007D348D" w:rsidSect="007D348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7EA" w:rsidRDefault="00E707EA" w:rsidP="007D348D">
      <w:r>
        <w:separator/>
      </w:r>
    </w:p>
  </w:endnote>
  <w:endnote w:type="continuationSeparator" w:id="0">
    <w:p w:rsidR="00E707EA" w:rsidRDefault="00E707EA" w:rsidP="007D3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8D" w:rsidRDefault="007D348D">
    <w:pPr>
      <w:pStyle w:val="a7"/>
    </w:pPr>
    <w:r>
      <w:pict>
        <v:rect id="文本框 3" o:spid="_x0000_s1026" style="position:absolute;margin-left:0;margin-top:0;width:2in;height:2in;z-index:102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4zC71bcBAABYAwAADgAAAAAAAAABACAAAAAfAQAAZHJzL2Uyb0RvYy54bWxQSwUGAAAAAAYABgBZ&#10;AQAASAUAAAAA&#10;" filled="f" stroked="f">
          <v:textbox style="mso-fit-shape-to-text:t" inset="0,0,0,0">
            <w:txbxContent>
              <w:p w:rsidR="007D348D" w:rsidRDefault="007D348D">
                <w:pPr>
                  <w:snapToGrid w:val="0"/>
                  <w:rPr>
                    <w:sz w:val="18"/>
                  </w:rPr>
                </w:pPr>
                <w:r>
                  <w:rPr>
                    <w:rFonts w:hint="eastAsia"/>
                    <w:sz w:val="18"/>
                  </w:rPr>
                  <w:fldChar w:fldCharType="begin"/>
                </w:r>
                <w:r w:rsidR="00E707EA">
                  <w:rPr>
                    <w:rFonts w:hint="eastAsia"/>
                    <w:sz w:val="18"/>
                  </w:rPr>
                  <w:instrText xml:space="preserve"> PAGE  \* MERGEFORMAT </w:instrText>
                </w:r>
                <w:r>
                  <w:rPr>
                    <w:rFonts w:hint="eastAsia"/>
                    <w:sz w:val="18"/>
                  </w:rPr>
                  <w:fldChar w:fldCharType="separate"/>
                </w:r>
                <w:r w:rsidR="00E4205A" w:rsidRPr="00E4205A">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7EA" w:rsidRDefault="00E707EA" w:rsidP="007D348D">
      <w:r>
        <w:separator/>
      </w:r>
    </w:p>
  </w:footnote>
  <w:footnote w:type="continuationSeparator" w:id="0">
    <w:p w:rsidR="00E707EA" w:rsidRDefault="00E707EA" w:rsidP="007D34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6FD1784"/>
    <w:rsid w:val="00005C99"/>
    <w:rsid w:val="00031E58"/>
    <w:rsid w:val="000A6541"/>
    <w:rsid w:val="002B5182"/>
    <w:rsid w:val="0032425D"/>
    <w:rsid w:val="0035110A"/>
    <w:rsid w:val="00474B0B"/>
    <w:rsid w:val="00486AD3"/>
    <w:rsid w:val="006A74C5"/>
    <w:rsid w:val="00727DC0"/>
    <w:rsid w:val="007D348D"/>
    <w:rsid w:val="0088541D"/>
    <w:rsid w:val="008F1E4D"/>
    <w:rsid w:val="00985645"/>
    <w:rsid w:val="00AC0B18"/>
    <w:rsid w:val="00AF493D"/>
    <w:rsid w:val="00BF3148"/>
    <w:rsid w:val="00DF36A4"/>
    <w:rsid w:val="00DF6108"/>
    <w:rsid w:val="00E26F46"/>
    <w:rsid w:val="00E4205A"/>
    <w:rsid w:val="00E707EA"/>
    <w:rsid w:val="00F7262F"/>
    <w:rsid w:val="00F83594"/>
    <w:rsid w:val="013116E0"/>
    <w:rsid w:val="016909FE"/>
    <w:rsid w:val="01852693"/>
    <w:rsid w:val="01D17D37"/>
    <w:rsid w:val="01E71330"/>
    <w:rsid w:val="0224020C"/>
    <w:rsid w:val="023065B1"/>
    <w:rsid w:val="0248030B"/>
    <w:rsid w:val="024A1584"/>
    <w:rsid w:val="029427B0"/>
    <w:rsid w:val="02A01215"/>
    <w:rsid w:val="02FF41F8"/>
    <w:rsid w:val="03233768"/>
    <w:rsid w:val="032A0D52"/>
    <w:rsid w:val="03376F95"/>
    <w:rsid w:val="036A7000"/>
    <w:rsid w:val="03AA653B"/>
    <w:rsid w:val="03C1417F"/>
    <w:rsid w:val="040A10D5"/>
    <w:rsid w:val="04332688"/>
    <w:rsid w:val="045C023C"/>
    <w:rsid w:val="045F1241"/>
    <w:rsid w:val="04A9314B"/>
    <w:rsid w:val="04BB4345"/>
    <w:rsid w:val="04D41A55"/>
    <w:rsid w:val="04F014B6"/>
    <w:rsid w:val="04F916B9"/>
    <w:rsid w:val="05097AD0"/>
    <w:rsid w:val="0511542D"/>
    <w:rsid w:val="059732B6"/>
    <w:rsid w:val="059A7EDA"/>
    <w:rsid w:val="05B408F6"/>
    <w:rsid w:val="05BF6486"/>
    <w:rsid w:val="060C0764"/>
    <w:rsid w:val="06541FA1"/>
    <w:rsid w:val="065B33DC"/>
    <w:rsid w:val="06675ED5"/>
    <w:rsid w:val="067F11DC"/>
    <w:rsid w:val="06840641"/>
    <w:rsid w:val="070B4FF0"/>
    <w:rsid w:val="074B7EF7"/>
    <w:rsid w:val="076568C5"/>
    <w:rsid w:val="07986E55"/>
    <w:rsid w:val="07C76244"/>
    <w:rsid w:val="07DB600A"/>
    <w:rsid w:val="08140E33"/>
    <w:rsid w:val="082075C0"/>
    <w:rsid w:val="08427AB4"/>
    <w:rsid w:val="084C309E"/>
    <w:rsid w:val="08527F7F"/>
    <w:rsid w:val="0859274C"/>
    <w:rsid w:val="089A4FB1"/>
    <w:rsid w:val="089F3BB6"/>
    <w:rsid w:val="08F104D2"/>
    <w:rsid w:val="08FD5E15"/>
    <w:rsid w:val="090845CC"/>
    <w:rsid w:val="091008C1"/>
    <w:rsid w:val="093E7634"/>
    <w:rsid w:val="09733663"/>
    <w:rsid w:val="0986530A"/>
    <w:rsid w:val="098749F9"/>
    <w:rsid w:val="098829BF"/>
    <w:rsid w:val="09967C75"/>
    <w:rsid w:val="09B51366"/>
    <w:rsid w:val="09BD5325"/>
    <w:rsid w:val="09E57CA8"/>
    <w:rsid w:val="0A2214FE"/>
    <w:rsid w:val="0AA04935"/>
    <w:rsid w:val="0AA24F62"/>
    <w:rsid w:val="0AE71B6F"/>
    <w:rsid w:val="0AFF1280"/>
    <w:rsid w:val="0B114D17"/>
    <w:rsid w:val="0B116E62"/>
    <w:rsid w:val="0B19468C"/>
    <w:rsid w:val="0B387DB5"/>
    <w:rsid w:val="0B701A7B"/>
    <w:rsid w:val="0B9711D3"/>
    <w:rsid w:val="0BC1434E"/>
    <w:rsid w:val="0BCC12E3"/>
    <w:rsid w:val="0BF34AF9"/>
    <w:rsid w:val="0BF83EBC"/>
    <w:rsid w:val="0C0D3AA4"/>
    <w:rsid w:val="0C286F5A"/>
    <w:rsid w:val="0C3F2B56"/>
    <w:rsid w:val="0C723E5A"/>
    <w:rsid w:val="0C7863C3"/>
    <w:rsid w:val="0C8A51BF"/>
    <w:rsid w:val="0CDE3867"/>
    <w:rsid w:val="0D257826"/>
    <w:rsid w:val="0D673952"/>
    <w:rsid w:val="0D8F2994"/>
    <w:rsid w:val="0D901D63"/>
    <w:rsid w:val="0DB700F1"/>
    <w:rsid w:val="0DB755CA"/>
    <w:rsid w:val="0DF25507"/>
    <w:rsid w:val="0E0F5EBD"/>
    <w:rsid w:val="0E227DC2"/>
    <w:rsid w:val="0E2436FB"/>
    <w:rsid w:val="0E277157"/>
    <w:rsid w:val="0E413981"/>
    <w:rsid w:val="0E620B59"/>
    <w:rsid w:val="0E8B6AEA"/>
    <w:rsid w:val="0EDE574B"/>
    <w:rsid w:val="0F1550CD"/>
    <w:rsid w:val="0F31328A"/>
    <w:rsid w:val="0F5C3B33"/>
    <w:rsid w:val="0F812434"/>
    <w:rsid w:val="0FD52885"/>
    <w:rsid w:val="10084F30"/>
    <w:rsid w:val="100F3B66"/>
    <w:rsid w:val="101D3F8A"/>
    <w:rsid w:val="102E617D"/>
    <w:rsid w:val="10345EA2"/>
    <w:rsid w:val="104F5BD3"/>
    <w:rsid w:val="107E714C"/>
    <w:rsid w:val="109529A7"/>
    <w:rsid w:val="109B117A"/>
    <w:rsid w:val="109B6362"/>
    <w:rsid w:val="10C7650F"/>
    <w:rsid w:val="11784996"/>
    <w:rsid w:val="119C141E"/>
    <w:rsid w:val="11A744A5"/>
    <w:rsid w:val="11B6796A"/>
    <w:rsid w:val="11C34528"/>
    <w:rsid w:val="11C347A2"/>
    <w:rsid w:val="124A32F5"/>
    <w:rsid w:val="126B68E2"/>
    <w:rsid w:val="129E32C1"/>
    <w:rsid w:val="12AA0463"/>
    <w:rsid w:val="12B02035"/>
    <w:rsid w:val="12D302D6"/>
    <w:rsid w:val="12F82529"/>
    <w:rsid w:val="13283A6A"/>
    <w:rsid w:val="132D5EE6"/>
    <w:rsid w:val="132E6AAC"/>
    <w:rsid w:val="13492B25"/>
    <w:rsid w:val="136B4C20"/>
    <w:rsid w:val="13765FB4"/>
    <w:rsid w:val="13860A23"/>
    <w:rsid w:val="138E576C"/>
    <w:rsid w:val="1391425B"/>
    <w:rsid w:val="143404CD"/>
    <w:rsid w:val="14362934"/>
    <w:rsid w:val="14A3385A"/>
    <w:rsid w:val="14B126D8"/>
    <w:rsid w:val="14BE00A4"/>
    <w:rsid w:val="14FC21DF"/>
    <w:rsid w:val="150B205D"/>
    <w:rsid w:val="15160E61"/>
    <w:rsid w:val="151B5698"/>
    <w:rsid w:val="152D7E0C"/>
    <w:rsid w:val="15694F98"/>
    <w:rsid w:val="15894758"/>
    <w:rsid w:val="163711CA"/>
    <w:rsid w:val="16686C78"/>
    <w:rsid w:val="166F77A5"/>
    <w:rsid w:val="167014C1"/>
    <w:rsid w:val="16743B24"/>
    <w:rsid w:val="16901ACB"/>
    <w:rsid w:val="16A356E5"/>
    <w:rsid w:val="16CB77DE"/>
    <w:rsid w:val="16DA092F"/>
    <w:rsid w:val="16F83FBE"/>
    <w:rsid w:val="16F8742A"/>
    <w:rsid w:val="171F34D5"/>
    <w:rsid w:val="17494DDE"/>
    <w:rsid w:val="17514167"/>
    <w:rsid w:val="1764493F"/>
    <w:rsid w:val="1789216B"/>
    <w:rsid w:val="17F87491"/>
    <w:rsid w:val="180E0988"/>
    <w:rsid w:val="182A4FC2"/>
    <w:rsid w:val="18AD7A90"/>
    <w:rsid w:val="18AE40F4"/>
    <w:rsid w:val="18EE6FB9"/>
    <w:rsid w:val="19246F2B"/>
    <w:rsid w:val="192E3D90"/>
    <w:rsid w:val="195B4173"/>
    <w:rsid w:val="196677F9"/>
    <w:rsid w:val="1977751A"/>
    <w:rsid w:val="19920E1B"/>
    <w:rsid w:val="19AB626D"/>
    <w:rsid w:val="19CE5790"/>
    <w:rsid w:val="1A06385F"/>
    <w:rsid w:val="1A222C1B"/>
    <w:rsid w:val="1A370A8F"/>
    <w:rsid w:val="1A553883"/>
    <w:rsid w:val="1A5B0A1A"/>
    <w:rsid w:val="1B25720B"/>
    <w:rsid w:val="1B894E80"/>
    <w:rsid w:val="1BA3207F"/>
    <w:rsid w:val="1BB6053D"/>
    <w:rsid w:val="1BDB4412"/>
    <w:rsid w:val="1C383C95"/>
    <w:rsid w:val="1C523C06"/>
    <w:rsid w:val="1C6F24E0"/>
    <w:rsid w:val="1C715AB9"/>
    <w:rsid w:val="1C7369C8"/>
    <w:rsid w:val="1C7E1BD6"/>
    <w:rsid w:val="1C8F207C"/>
    <w:rsid w:val="1C96519A"/>
    <w:rsid w:val="1CD14876"/>
    <w:rsid w:val="1CDD4B1F"/>
    <w:rsid w:val="1CE85A95"/>
    <w:rsid w:val="1D0726BE"/>
    <w:rsid w:val="1D17543E"/>
    <w:rsid w:val="1D287D6B"/>
    <w:rsid w:val="1DA735BE"/>
    <w:rsid w:val="1DB02121"/>
    <w:rsid w:val="1DBB6B10"/>
    <w:rsid w:val="1DD27BE7"/>
    <w:rsid w:val="1E6C202A"/>
    <w:rsid w:val="1EA242DF"/>
    <w:rsid w:val="1EA64DC6"/>
    <w:rsid w:val="1ED2397E"/>
    <w:rsid w:val="1F042BF2"/>
    <w:rsid w:val="1F220BDC"/>
    <w:rsid w:val="1F2A201D"/>
    <w:rsid w:val="1F3B40EC"/>
    <w:rsid w:val="1F7D69A1"/>
    <w:rsid w:val="1F977987"/>
    <w:rsid w:val="1FAC7C7D"/>
    <w:rsid w:val="1FED5826"/>
    <w:rsid w:val="1FFC70F3"/>
    <w:rsid w:val="200603BB"/>
    <w:rsid w:val="203A1A21"/>
    <w:rsid w:val="204B3C14"/>
    <w:rsid w:val="208F73D9"/>
    <w:rsid w:val="20D65F9A"/>
    <w:rsid w:val="20E80E92"/>
    <w:rsid w:val="20ED4F9E"/>
    <w:rsid w:val="213A2FBE"/>
    <w:rsid w:val="217E21A8"/>
    <w:rsid w:val="218A66D0"/>
    <w:rsid w:val="218F3927"/>
    <w:rsid w:val="21F27FF0"/>
    <w:rsid w:val="22107FE7"/>
    <w:rsid w:val="221A1EC5"/>
    <w:rsid w:val="227F6529"/>
    <w:rsid w:val="228E387C"/>
    <w:rsid w:val="22B75479"/>
    <w:rsid w:val="22ED1140"/>
    <w:rsid w:val="22F334E7"/>
    <w:rsid w:val="23094394"/>
    <w:rsid w:val="23385CD8"/>
    <w:rsid w:val="235018D2"/>
    <w:rsid w:val="2353286C"/>
    <w:rsid w:val="237F3C29"/>
    <w:rsid w:val="23B9582D"/>
    <w:rsid w:val="23FB256C"/>
    <w:rsid w:val="242E7291"/>
    <w:rsid w:val="2447558F"/>
    <w:rsid w:val="24491EA9"/>
    <w:rsid w:val="24737A77"/>
    <w:rsid w:val="24A23BD1"/>
    <w:rsid w:val="24AB3ACE"/>
    <w:rsid w:val="24BF7A13"/>
    <w:rsid w:val="24C31DEE"/>
    <w:rsid w:val="2541500F"/>
    <w:rsid w:val="25525A7D"/>
    <w:rsid w:val="25700598"/>
    <w:rsid w:val="259A47BB"/>
    <w:rsid w:val="259B295B"/>
    <w:rsid w:val="25A20665"/>
    <w:rsid w:val="25B37995"/>
    <w:rsid w:val="25C816C2"/>
    <w:rsid w:val="25E8485F"/>
    <w:rsid w:val="25F56F08"/>
    <w:rsid w:val="260A3CFE"/>
    <w:rsid w:val="26306484"/>
    <w:rsid w:val="266F3A13"/>
    <w:rsid w:val="26713E60"/>
    <w:rsid w:val="268C7C60"/>
    <w:rsid w:val="26A65466"/>
    <w:rsid w:val="26EF47EC"/>
    <w:rsid w:val="26FA3439"/>
    <w:rsid w:val="273C3B6E"/>
    <w:rsid w:val="2745308E"/>
    <w:rsid w:val="275F64E7"/>
    <w:rsid w:val="27604A12"/>
    <w:rsid w:val="276755D0"/>
    <w:rsid w:val="279B54DD"/>
    <w:rsid w:val="27B92942"/>
    <w:rsid w:val="282A7B9B"/>
    <w:rsid w:val="28625353"/>
    <w:rsid w:val="28710046"/>
    <w:rsid w:val="28974049"/>
    <w:rsid w:val="28AE4BF6"/>
    <w:rsid w:val="28BC7109"/>
    <w:rsid w:val="28C7551D"/>
    <w:rsid w:val="292608C3"/>
    <w:rsid w:val="29485F34"/>
    <w:rsid w:val="297D78B5"/>
    <w:rsid w:val="29920F57"/>
    <w:rsid w:val="29951F7D"/>
    <w:rsid w:val="29AF69A1"/>
    <w:rsid w:val="29B10CEC"/>
    <w:rsid w:val="2A2C0C58"/>
    <w:rsid w:val="2A35275F"/>
    <w:rsid w:val="2A4D796C"/>
    <w:rsid w:val="2A886347"/>
    <w:rsid w:val="2A9E1D50"/>
    <w:rsid w:val="2AE46DF9"/>
    <w:rsid w:val="2AF36CDF"/>
    <w:rsid w:val="2AF87329"/>
    <w:rsid w:val="2B0025D7"/>
    <w:rsid w:val="2B401957"/>
    <w:rsid w:val="2B4B753C"/>
    <w:rsid w:val="2B821380"/>
    <w:rsid w:val="2BC51645"/>
    <w:rsid w:val="2C102167"/>
    <w:rsid w:val="2C173E7A"/>
    <w:rsid w:val="2C290156"/>
    <w:rsid w:val="2C465B01"/>
    <w:rsid w:val="2C850ED3"/>
    <w:rsid w:val="2C8762D0"/>
    <w:rsid w:val="2C936470"/>
    <w:rsid w:val="2CA24D65"/>
    <w:rsid w:val="2CAD1B6A"/>
    <w:rsid w:val="2CD94729"/>
    <w:rsid w:val="2CEF5DD6"/>
    <w:rsid w:val="2D02736A"/>
    <w:rsid w:val="2D44714F"/>
    <w:rsid w:val="2D507E04"/>
    <w:rsid w:val="2D5B72F6"/>
    <w:rsid w:val="2D840844"/>
    <w:rsid w:val="2DF85F59"/>
    <w:rsid w:val="2E073E25"/>
    <w:rsid w:val="2E1A0CD8"/>
    <w:rsid w:val="2E552FAA"/>
    <w:rsid w:val="2E805665"/>
    <w:rsid w:val="2E99051A"/>
    <w:rsid w:val="2EAC27AB"/>
    <w:rsid w:val="2ED644A4"/>
    <w:rsid w:val="2ED64CE7"/>
    <w:rsid w:val="2F8F085F"/>
    <w:rsid w:val="2FD176CD"/>
    <w:rsid w:val="2FE21D9C"/>
    <w:rsid w:val="300F08A4"/>
    <w:rsid w:val="301D7C71"/>
    <w:rsid w:val="302D7631"/>
    <w:rsid w:val="30801B75"/>
    <w:rsid w:val="30A54DE9"/>
    <w:rsid w:val="30B620F1"/>
    <w:rsid w:val="31113266"/>
    <w:rsid w:val="313C4D86"/>
    <w:rsid w:val="314659EE"/>
    <w:rsid w:val="31874F9D"/>
    <w:rsid w:val="318C1600"/>
    <w:rsid w:val="31990B7E"/>
    <w:rsid w:val="31D24926"/>
    <w:rsid w:val="31D67709"/>
    <w:rsid w:val="31E64E0A"/>
    <w:rsid w:val="321F4FA6"/>
    <w:rsid w:val="32724259"/>
    <w:rsid w:val="327B70FF"/>
    <w:rsid w:val="32915076"/>
    <w:rsid w:val="329B6C04"/>
    <w:rsid w:val="32B46C1E"/>
    <w:rsid w:val="32DB6A6D"/>
    <w:rsid w:val="32E6160D"/>
    <w:rsid w:val="32EE1F9A"/>
    <w:rsid w:val="32EF6848"/>
    <w:rsid w:val="32FA6081"/>
    <w:rsid w:val="330D1AEF"/>
    <w:rsid w:val="331D69C2"/>
    <w:rsid w:val="333B4C52"/>
    <w:rsid w:val="334407AA"/>
    <w:rsid w:val="335C02E2"/>
    <w:rsid w:val="33600525"/>
    <w:rsid w:val="336B786D"/>
    <w:rsid w:val="33872BB6"/>
    <w:rsid w:val="33BB2BFD"/>
    <w:rsid w:val="33DA10CE"/>
    <w:rsid w:val="342E0335"/>
    <w:rsid w:val="34314981"/>
    <w:rsid w:val="34522433"/>
    <w:rsid w:val="345D7111"/>
    <w:rsid w:val="345E688B"/>
    <w:rsid w:val="34CF7FAF"/>
    <w:rsid w:val="34F32864"/>
    <w:rsid w:val="352E7C6B"/>
    <w:rsid w:val="3536383E"/>
    <w:rsid w:val="3585750C"/>
    <w:rsid w:val="358A3E41"/>
    <w:rsid w:val="35B614BD"/>
    <w:rsid w:val="35BE2F1B"/>
    <w:rsid w:val="36137470"/>
    <w:rsid w:val="362277C5"/>
    <w:rsid w:val="36314C00"/>
    <w:rsid w:val="363D12F7"/>
    <w:rsid w:val="365F1468"/>
    <w:rsid w:val="36657B65"/>
    <w:rsid w:val="367B0EEA"/>
    <w:rsid w:val="36B37574"/>
    <w:rsid w:val="36D312ED"/>
    <w:rsid w:val="36DE7984"/>
    <w:rsid w:val="37044713"/>
    <w:rsid w:val="370F7182"/>
    <w:rsid w:val="37397635"/>
    <w:rsid w:val="37A427C1"/>
    <w:rsid w:val="37A716F5"/>
    <w:rsid w:val="37C02458"/>
    <w:rsid w:val="380C6AD6"/>
    <w:rsid w:val="38514B9F"/>
    <w:rsid w:val="38526E52"/>
    <w:rsid w:val="3863075B"/>
    <w:rsid w:val="387563F7"/>
    <w:rsid w:val="387F3D8C"/>
    <w:rsid w:val="387F5A60"/>
    <w:rsid w:val="38B6617E"/>
    <w:rsid w:val="38D750B7"/>
    <w:rsid w:val="38D76F76"/>
    <w:rsid w:val="38E36DE3"/>
    <w:rsid w:val="39070557"/>
    <w:rsid w:val="391B3360"/>
    <w:rsid w:val="393C1E19"/>
    <w:rsid w:val="393C4D91"/>
    <w:rsid w:val="395B0BEA"/>
    <w:rsid w:val="396F2619"/>
    <w:rsid w:val="396F36F9"/>
    <w:rsid w:val="397D5BAF"/>
    <w:rsid w:val="39B64701"/>
    <w:rsid w:val="39C930FE"/>
    <w:rsid w:val="39CB2D51"/>
    <w:rsid w:val="3A186C7F"/>
    <w:rsid w:val="3A444896"/>
    <w:rsid w:val="3A951E69"/>
    <w:rsid w:val="3AA45A5B"/>
    <w:rsid w:val="3ACB4B6C"/>
    <w:rsid w:val="3ADF16C3"/>
    <w:rsid w:val="3AE01D9B"/>
    <w:rsid w:val="3AF87FE0"/>
    <w:rsid w:val="3B095648"/>
    <w:rsid w:val="3B387B37"/>
    <w:rsid w:val="3B4C259A"/>
    <w:rsid w:val="3BD90396"/>
    <w:rsid w:val="3BE556D1"/>
    <w:rsid w:val="3C153D05"/>
    <w:rsid w:val="3C1D5359"/>
    <w:rsid w:val="3C2D34EA"/>
    <w:rsid w:val="3C42694C"/>
    <w:rsid w:val="3C550D9E"/>
    <w:rsid w:val="3C702F48"/>
    <w:rsid w:val="3C7E3745"/>
    <w:rsid w:val="3C833FCA"/>
    <w:rsid w:val="3C8B624B"/>
    <w:rsid w:val="3CD42B0D"/>
    <w:rsid w:val="3CD90E7C"/>
    <w:rsid w:val="3D351B7B"/>
    <w:rsid w:val="3D805EC7"/>
    <w:rsid w:val="3D9B0B3B"/>
    <w:rsid w:val="3DA86C83"/>
    <w:rsid w:val="3DBA32F4"/>
    <w:rsid w:val="3DFE49BC"/>
    <w:rsid w:val="3E086CC8"/>
    <w:rsid w:val="3E531C59"/>
    <w:rsid w:val="3E53339A"/>
    <w:rsid w:val="3E551AAA"/>
    <w:rsid w:val="3E9A5D9D"/>
    <w:rsid w:val="3E9F7513"/>
    <w:rsid w:val="3EF26282"/>
    <w:rsid w:val="3F0A5ED5"/>
    <w:rsid w:val="3F2F40C5"/>
    <w:rsid w:val="3F3F391A"/>
    <w:rsid w:val="3F460EF3"/>
    <w:rsid w:val="3F802853"/>
    <w:rsid w:val="3F9C6DFC"/>
    <w:rsid w:val="3F9D3AB3"/>
    <w:rsid w:val="3FCC081D"/>
    <w:rsid w:val="3FFC0743"/>
    <w:rsid w:val="40033B9C"/>
    <w:rsid w:val="400C3A3C"/>
    <w:rsid w:val="403907FB"/>
    <w:rsid w:val="403B2B30"/>
    <w:rsid w:val="40460634"/>
    <w:rsid w:val="405472B5"/>
    <w:rsid w:val="40861FAF"/>
    <w:rsid w:val="40CA459C"/>
    <w:rsid w:val="40D22372"/>
    <w:rsid w:val="40D53BC9"/>
    <w:rsid w:val="40F87FE2"/>
    <w:rsid w:val="41341AA1"/>
    <w:rsid w:val="414E05F2"/>
    <w:rsid w:val="41556508"/>
    <w:rsid w:val="417921AF"/>
    <w:rsid w:val="41856E27"/>
    <w:rsid w:val="41951D83"/>
    <w:rsid w:val="419F7399"/>
    <w:rsid w:val="41B67B7C"/>
    <w:rsid w:val="41E17A77"/>
    <w:rsid w:val="41EB6E8F"/>
    <w:rsid w:val="41F40907"/>
    <w:rsid w:val="41F92176"/>
    <w:rsid w:val="42042759"/>
    <w:rsid w:val="42197145"/>
    <w:rsid w:val="42564A1C"/>
    <w:rsid w:val="427278A1"/>
    <w:rsid w:val="429703A6"/>
    <w:rsid w:val="42D412DE"/>
    <w:rsid w:val="42F42DD5"/>
    <w:rsid w:val="4343614A"/>
    <w:rsid w:val="4371665C"/>
    <w:rsid w:val="43AA122F"/>
    <w:rsid w:val="43CC025F"/>
    <w:rsid w:val="43D26D88"/>
    <w:rsid w:val="43F85889"/>
    <w:rsid w:val="442868BB"/>
    <w:rsid w:val="44CF6EEC"/>
    <w:rsid w:val="452B2B9B"/>
    <w:rsid w:val="45456352"/>
    <w:rsid w:val="456F07ED"/>
    <w:rsid w:val="45B61FFD"/>
    <w:rsid w:val="45B8049E"/>
    <w:rsid w:val="45C545E2"/>
    <w:rsid w:val="45C96920"/>
    <w:rsid w:val="45D17BDD"/>
    <w:rsid w:val="460444D6"/>
    <w:rsid w:val="463D0E08"/>
    <w:rsid w:val="467B4BA9"/>
    <w:rsid w:val="46A90A1D"/>
    <w:rsid w:val="46CC0FB8"/>
    <w:rsid w:val="46FB1572"/>
    <w:rsid w:val="4710786C"/>
    <w:rsid w:val="47163668"/>
    <w:rsid w:val="475E7C8D"/>
    <w:rsid w:val="477C13B4"/>
    <w:rsid w:val="479E6911"/>
    <w:rsid w:val="47F97DCD"/>
    <w:rsid w:val="482750AE"/>
    <w:rsid w:val="48582BB3"/>
    <w:rsid w:val="489B005D"/>
    <w:rsid w:val="48AF53E4"/>
    <w:rsid w:val="48C34855"/>
    <w:rsid w:val="48C62CDC"/>
    <w:rsid w:val="48E61272"/>
    <w:rsid w:val="491A609F"/>
    <w:rsid w:val="49620D42"/>
    <w:rsid w:val="496561BB"/>
    <w:rsid w:val="49D129B9"/>
    <w:rsid w:val="49F57AC1"/>
    <w:rsid w:val="4A072BAB"/>
    <w:rsid w:val="4A091490"/>
    <w:rsid w:val="4A1C717C"/>
    <w:rsid w:val="4A313C2C"/>
    <w:rsid w:val="4AAF769F"/>
    <w:rsid w:val="4ABC3786"/>
    <w:rsid w:val="4B270615"/>
    <w:rsid w:val="4B7569A8"/>
    <w:rsid w:val="4BA77161"/>
    <w:rsid w:val="4BB86E09"/>
    <w:rsid w:val="4BC05893"/>
    <w:rsid w:val="4BC64758"/>
    <w:rsid w:val="4BD320F4"/>
    <w:rsid w:val="4BD855FE"/>
    <w:rsid w:val="4C0D706C"/>
    <w:rsid w:val="4C23290C"/>
    <w:rsid w:val="4C2D676D"/>
    <w:rsid w:val="4C345DC6"/>
    <w:rsid w:val="4C50498B"/>
    <w:rsid w:val="4C8170F1"/>
    <w:rsid w:val="4CEF7779"/>
    <w:rsid w:val="4D12409A"/>
    <w:rsid w:val="4D147233"/>
    <w:rsid w:val="4D560E10"/>
    <w:rsid w:val="4DD462F3"/>
    <w:rsid w:val="4DE560E1"/>
    <w:rsid w:val="4E251296"/>
    <w:rsid w:val="4E3A49BF"/>
    <w:rsid w:val="4E3E15E6"/>
    <w:rsid w:val="4E41115C"/>
    <w:rsid w:val="4E4C6F67"/>
    <w:rsid w:val="4EA9774F"/>
    <w:rsid w:val="4EAA72F7"/>
    <w:rsid w:val="4EAC4BED"/>
    <w:rsid w:val="4F91746B"/>
    <w:rsid w:val="4FF626A6"/>
    <w:rsid w:val="501F7076"/>
    <w:rsid w:val="50220F77"/>
    <w:rsid w:val="502E2F66"/>
    <w:rsid w:val="5053430F"/>
    <w:rsid w:val="50634F90"/>
    <w:rsid w:val="50661B0C"/>
    <w:rsid w:val="506C6580"/>
    <w:rsid w:val="50D96468"/>
    <w:rsid w:val="50E52091"/>
    <w:rsid w:val="50ED172F"/>
    <w:rsid w:val="50FE43F1"/>
    <w:rsid w:val="510240BD"/>
    <w:rsid w:val="511B4707"/>
    <w:rsid w:val="513129A8"/>
    <w:rsid w:val="517276F3"/>
    <w:rsid w:val="51D7449E"/>
    <w:rsid w:val="51DE1156"/>
    <w:rsid w:val="52811525"/>
    <w:rsid w:val="529512DA"/>
    <w:rsid w:val="52AE4BFE"/>
    <w:rsid w:val="52BB34FD"/>
    <w:rsid w:val="52CB4B9A"/>
    <w:rsid w:val="52FF3FDE"/>
    <w:rsid w:val="53362F23"/>
    <w:rsid w:val="534244A5"/>
    <w:rsid w:val="53A356C9"/>
    <w:rsid w:val="53C129E8"/>
    <w:rsid w:val="53EE5FDA"/>
    <w:rsid w:val="53F2280B"/>
    <w:rsid w:val="53FF437B"/>
    <w:rsid w:val="54B469FC"/>
    <w:rsid w:val="54C12E05"/>
    <w:rsid w:val="54FB2A06"/>
    <w:rsid w:val="550337FC"/>
    <w:rsid w:val="550E6A67"/>
    <w:rsid w:val="5527481F"/>
    <w:rsid w:val="55311DDC"/>
    <w:rsid w:val="55B53FD0"/>
    <w:rsid w:val="55F203D3"/>
    <w:rsid w:val="564A20DE"/>
    <w:rsid w:val="56525885"/>
    <w:rsid w:val="56605B4C"/>
    <w:rsid w:val="56621FF0"/>
    <w:rsid w:val="56800B75"/>
    <w:rsid w:val="568F16C2"/>
    <w:rsid w:val="56952A27"/>
    <w:rsid w:val="56CC3B6E"/>
    <w:rsid w:val="56CC6488"/>
    <w:rsid w:val="56FC486D"/>
    <w:rsid w:val="56FD1784"/>
    <w:rsid w:val="57512E2F"/>
    <w:rsid w:val="57DC41F4"/>
    <w:rsid w:val="57E34A55"/>
    <w:rsid w:val="58141455"/>
    <w:rsid w:val="58243C10"/>
    <w:rsid w:val="583F2405"/>
    <w:rsid w:val="58557E85"/>
    <w:rsid w:val="5883413D"/>
    <w:rsid w:val="588A7560"/>
    <w:rsid w:val="58B63F12"/>
    <w:rsid w:val="58C3478F"/>
    <w:rsid w:val="58F62461"/>
    <w:rsid w:val="594416EE"/>
    <w:rsid w:val="597B6740"/>
    <w:rsid w:val="59B71D13"/>
    <w:rsid w:val="59E5147C"/>
    <w:rsid w:val="59E70B0C"/>
    <w:rsid w:val="59F33682"/>
    <w:rsid w:val="59FA5799"/>
    <w:rsid w:val="5A240125"/>
    <w:rsid w:val="5A774912"/>
    <w:rsid w:val="5A935B8F"/>
    <w:rsid w:val="5ADD2481"/>
    <w:rsid w:val="5AE46729"/>
    <w:rsid w:val="5AED2763"/>
    <w:rsid w:val="5B1B6370"/>
    <w:rsid w:val="5B444CA0"/>
    <w:rsid w:val="5B48662D"/>
    <w:rsid w:val="5BD06B99"/>
    <w:rsid w:val="5BF561C3"/>
    <w:rsid w:val="5BFC5AAA"/>
    <w:rsid w:val="5C1F338B"/>
    <w:rsid w:val="5C436A00"/>
    <w:rsid w:val="5C601DFB"/>
    <w:rsid w:val="5C883DB5"/>
    <w:rsid w:val="5C9B65FB"/>
    <w:rsid w:val="5CA43D5C"/>
    <w:rsid w:val="5CA7550A"/>
    <w:rsid w:val="5CAB6832"/>
    <w:rsid w:val="5CAE3DFA"/>
    <w:rsid w:val="5CBE5B3D"/>
    <w:rsid w:val="5CC276DE"/>
    <w:rsid w:val="5CE379E4"/>
    <w:rsid w:val="5CF4523B"/>
    <w:rsid w:val="5D46202B"/>
    <w:rsid w:val="5D4637C6"/>
    <w:rsid w:val="5D535453"/>
    <w:rsid w:val="5DAE390A"/>
    <w:rsid w:val="5DDF59BA"/>
    <w:rsid w:val="5E3D1CCB"/>
    <w:rsid w:val="5E501388"/>
    <w:rsid w:val="5E6A4BB4"/>
    <w:rsid w:val="5E6E492F"/>
    <w:rsid w:val="5E7F3271"/>
    <w:rsid w:val="5E8819C0"/>
    <w:rsid w:val="5EA26551"/>
    <w:rsid w:val="5EB82256"/>
    <w:rsid w:val="5EC12BF8"/>
    <w:rsid w:val="5EEF72A3"/>
    <w:rsid w:val="5F855F3C"/>
    <w:rsid w:val="5FBB17F2"/>
    <w:rsid w:val="5FBB4BB6"/>
    <w:rsid w:val="602C26DA"/>
    <w:rsid w:val="606A4801"/>
    <w:rsid w:val="60742028"/>
    <w:rsid w:val="60B340C3"/>
    <w:rsid w:val="60C918C6"/>
    <w:rsid w:val="613A42B8"/>
    <w:rsid w:val="61503BD9"/>
    <w:rsid w:val="615C0A80"/>
    <w:rsid w:val="61710498"/>
    <w:rsid w:val="623A41D8"/>
    <w:rsid w:val="62542447"/>
    <w:rsid w:val="62606766"/>
    <w:rsid w:val="62A76C88"/>
    <w:rsid w:val="62C253D2"/>
    <w:rsid w:val="62EC7129"/>
    <w:rsid w:val="62ED2B7F"/>
    <w:rsid w:val="630B6CE9"/>
    <w:rsid w:val="63123902"/>
    <w:rsid w:val="632804AA"/>
    <w:rsid w:val="632A396A"/>
    <w:rsid w:val="633F38E7"/>
    <w:rsid w:val="63763D14"/>
    <w:rsid w:val="63A55F43"/>
    <w:rsid w:val="63AC2246"/>
    <w:rsid w:val="63DF503C"/>
    <w:rsid w:val="63F603F6"/>
    <w:rsid w:val="641D2E66"/>
    <w:rsid w:val="64256ACD"/>
    <w:rsid w:val="64C033D0"/>
    <w:rsid w:val="64CF0946"/>
    <w:rsid w:val="64E44D04"/>
    <w:rsid w:val="65040D38"/>
    <w:rsid w:val="650526B7"/>
    <w:rsid w:val="653B15C3"/>
    <w:rsid w:val="65444D67"/>
    <w:rsid w:val="65732C6D"/>
    <w:rsid w:val="657E371C"/>
    <w:rsid w:val="658409C1"/>
    <w:rsid w:val="65D6009F"/>
    <w:rsid w:val="65F24C4F"/>
    <w:rsid w:val="65FE564A"/>
    <w:rsid w:val="66050BDB"/>
    <w:rsid w:val="6645599A"/>
    <w:rsid w:val="66B30211"/>
    <w:rsid w:val="66BF0D64"/>
    <w:rsid w:val="66D40241"/>
    <w:rsid w:val="67253E1E"/>
    <w:rsid w:val="678A66F2"/>
    <w:rsid w:val="678E4F6D"/>
    <w:rsid w:val="67BE3535"/>
    <w:rsid w:val="68037644"/>
    <w:rsid w:val="6815601D"/>
    <w:rsid w:val="68A42692"/>
    <w:rsid w:val="68AA5DEC"/>
    <w:rsid w:val="68BB6192"/>
    <w:rsid w:val="68D425DF"/>
    <w:rsid w:val="692313DD"/>
    <w:rsid w:val="693D064E"/>
    <w:rsid w:val="696800E5"/>
    <w:rsid w:val="6999599E"/>
    <w:rsid w:val="69BD7B3B"/>
    <w:rsid w:val="69D52F25"/>
    <w:rsid w:val="69D90B10"/>
    <w:rsid w:val="6A152E28"/>
    <w:rsid w:val="6A1F3A37"/>
    <w:rsid w:val="6A390937"/>
    <w:rsid w:val="6A3A731D"/>
    <w:rsid w:val="6A76732A"/>
    <w:rsid w:val="6A8E4CDE"/>
    <w:rsid w:val="6A913730"/>
    <w:rsid w:val="6AA00C6C"/>
    <w:rsid w:val="6AC8210F"/>
    <w:rsid w:val="6ACB4328"/>
    <w:rsid w:val="6AE55258"/>
    <w:rsid w:val="6B023F55"/>
    <w:rsid w:val="6B0F7D95"/>
    <w:rsid w:val="6B125139"/>
    <w:rsid w:val="6B171982"/>
    <w:rsid w:val="6B176F7C"/>
    <w:rsid w:val="6B397DD3"/>
    <w:rsid w:val="6B3E10F5"/>
    <w:rsid w:val="6B802759"/>
    <w:rsid w:val="6BAD7DE9"/>
    <w:rsid w:val="6C2A187B"/>
    <w:rsid w:val="6C353B71"/>
    <w:rsid w:val="6C3C71BB"/>
    <w:rsid w:val="6C666467"/>
    <w:rsid w:val="6C712FE5"/>
    <w:rsid w:val="6CAF4760"/>
    <w:rsid w:val="6CFF5486"/>
    <w:rsid w:val="6D097D74"/>
    <w:rsid w:val="6D2B336B"/>
    <w:rsid w:val="6D3416CF"/>
    <w:rsid w:val="6D3B3AC7"/>
    <w:rsid w:val="6D4232A5"/>
    <w:rsid w:val="6D477D85"/>
    <w:rsid w:val="6D580D83"/>
    <w:rsid w:val="6D8E676F"/>
    <w:rsid w:val="6DBE173E"/>
    <w:rsid w:val="6DCA3443"/>
    <w:rsid w:val="6DCE0B44"/>
    <w:rsid w:val="6E132DE1"/>
    <w:rsid w:val="6E3323CF"/>
    <w:rsid w:val="6E4F3215"/>
    <w:rsid w:val="6E6742E5"/>
    <w:rsid w:val="6E7B172B"/>
    <w:rsid w:val="6F0622CC"/>
    <w:rsid w:val="6F441070"/>
    <w:rsid w:val="6F5436DC"/>
    <w:rsid w:val="6F684C23"/>
    <w:rsid w:val="6F7D6A72"/>
    <w:rsid w:val="6F8A7AFC"/>
    <w:rsid w:val="7012596C"/>
    <w:rsid w:val="7018537D"/>
    <w:rsid w:val="701D5A21"/>
    <w:rsid w:val="70292610"/>
    <w:rsid w:val="704D4533"/>
    <w:rsid w:val="70642976"/>
    <w:rsid w:val="70A1505B"/>
    <w:rsid w:val="70A73BAA"/>
    <w:rsid w:val="70CB132C"/>
    <w:rsid w:val="70D91C61"/>
    <w:rsid w:val="71071EA8"/>
    <w:rsid w:val="71125845"/>
    <w:rsid w:val="7116749F"/>
    <w:rsid w:val="712545D0"/>
    <w:rsid w:val="712B0D69"/>
    <w:rsid w:val="71372202"/>
    <w:rsid w:val="71524A33"/>
    <w:rsid w:val="71A32C4F"/>
    <w:rsid w:val="71B959E8"/>
    <w:rsid w:val="71C2217F"/>
    <w:rsid w:val="71FA5645"/>
    <w:rsid w:val="722859E6"/>
    <w:rsid w:val="72690ECE"/>
    <w:rsid w:val="72856E2B"/>
    <w:rsid w:val="72A64D84"/>
    <w:rsid w:val="72C413D9"/>
    <w:rsid w:val="73193522"/>
    <w:rsid w:val="7333658D"/>
    <w:rsid w:val="73354925"/>
    <w:rsid w:val="737266F7"/>
    <w:rsid w:val="73E14DC2"/>
    <w:rsid w:val="74163B9D"/>
    <w:rsid w:val="741977A5"/>
    <w:rsid w:val="742C0E19"/>
    <w:rsid w:val="746A549A"/>
    <w:rsid w:val="74A66373"/>
    <w:rsid w:val="74C255FD"/>
    <w:rsid w:val="74D47C66"/>
    <w:rsid w:val="75195543"/>
    <w:rsid w:val="75697EDA"/>
    <w:rsid w:val="75D02060"/>
    <w:rsid w:val="75DD2C54"/>
    <w:rsid w:val="760546BB"/>
    <w:rsid w:val="76074A17"/>
    <w:rsid w:val="76996D51"/>
    <w:rsid w:val="76BF3F20"/>
    <w:rsid w:val="76D413BB"/>
    <w:rsid w:val="77280E78"/>
    <w:rsid w:val="77663A67"/>
    <w:rsid w:val="77831CA0"/>
    <w:rsid w:val="77F073CD"/>
    <w:rsid w:val="7837258E"/>
    <w:rsid w:val="78584CDA"/>
    <w:rsid w:val="7890175A"/>
    <w:rsid w:val="78EB7847"/>
    <w:rsid w:val="79422AAF"/>
    <w:rsid w:val="796C3EE7"/>
    <w:rsid w:val="797053D2"/>
    <w:rsid w:val="79973DF6"/>
    <w:rsid w:val="79B3745B"/>
    <w:rsid w:val="79F27CFD"/>
    <w:rsid w:val="7A02755C"/>
    <w:rsid w:val="7A083FBF"/>
    <w:rsid w:val="7A2773B3"/>
    <w:rsid w:val="7A3B0573"/>
    <w:rsid w:val="7A4F2C37"/>
    <w:rsid w:val="7A6A7CB7"/>
    <w:rsid w:val="7AD939AD"/>
    <w:rsid w:val="7AEC158E"/>
    <w:rsid w:val="7B3F5B59"/>
    <w:rsid w:val="7BAD58C5"/>
    <w:rsid w:val="7BD73A97"/>
    <w:rsid w:val="7C2C1F9C"/>
    <w:rsid w:val="7C2E5A0E"/>
    <w:rsid w:val="7C93555A"/>
    <w:rsid w:val="7CE864D7"/>
    <w:rsid w:val="7CEB5978"/>
    <w:rsid w:val="7CED62BF"/>
    <w:rsid w:val="7CF261B5"/>
    <w:rsid w:val="7D2164BA"/>
    <w:rsid w:val="7D777A82"/>
    <w:rsid w:val="7D7D15ED"/>
    <w:rsid w:val="7D94665F"/>
    <w:rsid w:val="7DA2133A"/>
    <w:rsid w:val="7DBC441E"/>
    <w:rsid w:val="7DEC355C"/>
    <w:rsid w:val="7DF23391"/>
    <w:rsid w:val="7E4D10B5"/>
    <w:rsid w:val="7E891319"/>
    <w:rsid w:val="7E8C50F5"/>
    <w:rsid w:val="7EC8613C"/>
    <w:rsid w:val="7F0A138B"/>
    <w:rsid w:val="7F155B6B"/>
    <w:rsid w:val="7F26063D"/>
    <w:rsid w:val="7F484AFD"/>
    <w:rsid w:val="7F5B577A"/>
    <w:rsid w:val="7F872C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348D"/>
    <w:pPr>
      <w:widowControl w:val="0"/>
      <w:jc w:val="both"/>
    </w:pPr>
    <w:rPr>
      <w:rFonts w:ascii="Calibri" w:hAnsi="Calibri" w:cs="黑体"/>
      <w:kern w:val="2"/>
      <w:sz w:val="21"/>
      <w:szCs w:val="24"/>
    </w:rPr>
  </w:style>
  <w:style w:type="paragraph" w:styleId="1">
    <w:name w:val="heading 1"/>
    <w:basedOn w:val="a"/>
    <w:next w:val="a"/>
    <w:qFormat/>
    <w:rsid w:val="007D348D"/>
    <w:pPr>
      <w:keepNext/>
      <w:keepLines/>
      <w:spacing w:line="576" w:lineRule="auto"/>
      <w:outlineLvl w:val="0"/>
    </w:pPr>
    <w:rPr>
      <w:b/>
      <w:kern w:val="44"/>
      <w:sz w:val="44"/>
    </w:rPr>
  </w:style>
  <w:style w:type="paragraph" w:styleId="2">
    <w:name w:val="heading 2"/>
    <w:basedOn w:val="a"/>
    <w:next w:val="a"/>
    <w:unhideWhenUsed/>
    <w:qFormat/>
    <w:rsid w:val="007D348D"/>
    <w:pPr>
      <w:keepNext/>
      <w:keepLines/>
      <w:spacing w:line="413" w:lineRule="auto"/>
      <w:outlineLvl w:val="1"/>
    </w:pPr>
    <w:rPr>
      <w:rFonts w:ascii="Arial" w:eastAsia="黑体" w:hAnsi="Arial"/>
      <w:b/>
      <w:kern w:val="0"/>
      <w:sz w:val="32"/>
    </w:rPr>
  </w:style>
  <w:style w:type="paragraph" w:styleId="3">
    <w:name w:val="heading 3"/>
    <w:basedOn w:val="a"/>
    <w:next w:val="a"/>
    <w:unhideWhenUsed/>
    <w:qFormat/>
    <w:rsid w:val="007D348D"/>
    <w:pPr>
      <w:keepNext/>
      <w:keepLines/>
      <w:spacing w:before="260" w:after="260" w:line="416" w:lineRule="auto"/>
      <w:outlineLvl w:val="2"/>
    </w:pPr>
    <w:rPr>
      <w:b/>
      <w:bCs/>
      <w:kern w:val="0"/>
      <w:sz w:val="32"/>
      <w:szCs w:val="32"/>
    </w:rPr>
  </w:style>
  <w:style w:type="paragraph" w:styleId="4">
    <w:name w:val="heading 4"/>
    <w:basedOn w:val="a"/>
    <w:next w:val="a"/>
    <w:unhideWhenUsed/>
    <w:qFormat/>
    <w:rsid w:val="007D348D"/>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7D348D"/>
    <w:rPr>
      <w:b/>
      <w:bCs/>
    </w:rPr>
  </w:style>
  <w:style w:type="paragraph" w:styleId="a4">
    <w:name w:val="annotation text"/>
    <w:basedOn w:val="a"/>
    <w:link w:val="Char0"/>
    <w:qFormat/>
    <w:rsid w:val="007D348D"/>
    <w:pPr>
      <w:jc w:val="left"/>
    </w:pPr>
  </w:style>
  <w:style w:type="paragraph" w:styleId="7">
    <w:name w:val="toc 7"/>
    <w:basedOn w:val="a"/>
    <w:next w:val="a"/>
    <w:qFormat/>
    <w:rsid w:val="007D348D"/>
    <w:pPr>
      <w:ind w:leftChars="1200" w:left="2520"/>
    </w:pPr>
  </w:style>
  <w:style w:type="paragraph" w:styleId="a5">
    <w:name w:val="Document Map"/>
    <w:basedOn w:val="a"/>
    <w:link w:val="Char1"/>
    <w:qFormat/>
    <w:rsid w:val="007D348D"/>
    <w:rPr>
      <w:rFonts w:ascii="宋体"/>
      <w:sz w:val="18"/>
      <w:szCs w:val="18"/>
    </w:rPr>
  </w:style>
  <w:style w:type="paragraph" w:styleId="5">
    <w:name w:val="toc 5"/>
    <w:basedOn w:val="a"/>
    <w:next w:val="a"/>
    <w:qFormat/>
    <w:rsid w:val="007D348D"/>
    <w:pPr>
      <w:ind w:leftChars="800" w:left="1680"/>
    </w:pPr>
  </w:style>
  <w:style w:type="paragraph" w:styleId="30">
    <w:name w:val="toc 3"/>
    <w:basedOn w:val="a"/>
    <w:next w:val="a"/>
    <w:qFormat/>
    <w:rsid w:val="007D348D"/>
    <w:pPr>
      <w:ind w:leftChars="400" w:left="840"/>
    </w:pPr>
  </w:style>
  <w:style w:type="paragraph" w:styleId="8">
    <w:name w:val="toc 8"/>
    <w:basedOn w:val="a"/>
    <w:next w:val="a"/>
    <w:qFormat/>
    <w:rsid w:val="007D348D"/>
    <w:pPr>
      <w:ind w:leftChars="1400" w:left="2940"/>
    </w:pPr>
  </w:style>
  <w:style w:type="paragraph" w:styleId="a6">
    <w:name w:val="Balloon Text"/>
    <w:basedOn w:val="a"/>
    <w:link w:val="Char2"/>
    <w:qFormat/>
    <w:rsid w:val="007D348D"/>
    <w:rPr>
      <w:sz w:val="18"/>
      <w:szCs w:val="18"/>
    </w:rPr>
  </w:style>
  <w:style w:type="paragraph" w:styleId="a7">
    <w:name w:val="footer"/>
    <w:basedOn w:val="a"/>
    <w:qFormat/>
    <w:rsid w:val="007D348D"/>
    <w:pPr>
      <w:tabs>
        <w:tab w:val="center" w:pos="4153"/>
        <w:tab w:val="right" w:pos="8306"/>
      </w:tabs>
      <w:snapToGrid w:val="0"/>
      <w:jc w:val="left"/>
    </w:pPr>
    <w:rPr>
      <w:sz w:val="18"/>
    </w:rPr>
  </w:style>
  <w:style w:type="paragraph" w:styleId="a8">
    <w:name w:val="header"/>
    <w:basedOn w:val="a"/>
    <w:qFormat/>
    <w:rsid w:val="007D348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7D348D"/>
  </w:style>
  <w:style w:type="paragraph" w:styleId="40">
    <w:name w:val="toc 4"/>
    <w:basedOn w:val="a"/>
    <w:next w:val="a"/>
    <w:qFormat/>
    <w:rsid w:val="007D348D"/>
    <w:pPr>
      <w:ind w:leftChars="600" w:left="1260"/>
    </w:pPr>
  </w:style>
  <w:style w:type="paragraph" w:styleId="6">
    <w:name w:val="toc 6"/>
    <w:basedOn w:val="a"/>
    <w:next w:val="a"/>
    <w:qFormat/>
    <w:rsid w:val="007D348D"/>
    <w:pPr>
      <w:ind w:leftChars="1000" w:left="2100"/>
    </w:pPr>
  </w:style>
  <w:style w:type="paragraph" w:styleId="20">
    <w:name w:val="toc 2"/>
    <w:basedOn w:val="a"/>
    <w:next w:val="a"/>
    <w:qFormat/>
    <w:rsid w:val="007D348D"/>
    <w:pPr>
      <w:ind w:leftChars="200" w:left="420"/>
    </w:pPr>
  </w:style>
  <w:style w:type="paragraph" w:styleId="9">
    <w:name w:val="toc 9"/>
    <w:basedOn w:val="a"/>
    <w:next w:val="a"/>
    <w:qFormat/>
    <w:rsid w:val="007D348D"/>
    <w:pPr>
      <w:ind w:leftChars="1600" w:left="3360"/>
    </w:pPr>
  </w:style>
  <w:style w:type="character" w:styleId="a9">
    <w:name w:val="annotation reference"/>
    <w:basedOn w:val="a0"/>
    <w:qFormat/>
    <w:rsid w:val="007D348D"/>
    <w:rPr>
      <w:sz w:val="21"/>
      <w:szCs w:val="21"/>
    </w:rPr>
  </w:style>
  <w:style w:type="character" w:customStyle="1" w:styleId="Char1">
    <w:name w:val="文档结构图 Char"/>
    <w:basedOn w:val="a0"/>
    <w:link w:val="a5"/>
    <w:qFormat/>
    <w:rsid w:val="007D348D"/>
    <w:rPr>
      <w:rFonts w:ascii="宋体" w:hAnsi="Calibri" w:cs="黑体"/>
      <w:kern w:val="2"/>
      <w:sz w:val="18"/>
      <w:szCs w:val="18"/>
    </w:rPr>
  </w:style>
  <w:style w:type="character" w:customStyle="1" w:styleId="Char0">
    <w:name w:val="批注文字 Char"/>
    <w:basedOn w:val="a0"/>
    <w:link w:val="a4"/>
    <w:qFormat/>
    <w:rsid w:val="007D348D"/>
    <w:rPr>
      <w:rFonts w:ascii="Calibri" w:hAnsi="Calibri" w:cs="黑体"/>
      <w:kern w:val="2"/>
      <w:sz w:val="21"/>
      <w:szCs w:val="24"/>
    </w:rPr>
  </w:style>
  <w:style w:type="character" w:customStyle="1" w:styleId="Char">
    <w:name w:val="批注主题 Char"/>
    <w:basedOn w:val="Char0"/>
    <w:link w:val="a3"/>
    <w:rsid w:val="007D348D"/>
    <w:rPr>
      <w:b/>
      <w:bCs/>
    </w:rPr>
  </w:style>
  <w:style w:type="character" w:customStyle="1" w:styleId="Char2">
    <w:name w:val="批注框文本 Char"/>
    <w:basedOn w:val="a0"/>
    <w:link w:val="a6"/>
    <w:rsid w:val="007D348D"/>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749</Words>
  <Characters>4272</Characters>
  <Application>Microsoft Office Word</Application>
  <DocSecurity>0</DocSecurity>
  <Lines>35</Lines>
  <Paragraphs>10</Paragraphs>
  <ScaleCrop>false</ScaleCrop>
  <Company>CIMTEC</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制造业创新中心知识产权运用指南</dc:title>
  <dc:creator>Administrator</dc:creator>
  <cp:lastModifiedBy>Administrator</cp:lastModifiedBy>
  <cp:revision>12</cp:revision>
  <cp:lastPrinted>2016-10-19T08:10:00Z</cp:lastPrinted>
  <dcterms:created xsi:type="dcterms:W3CDTF">2016-04-08T07:08:00Z</dcterms:created>
  <dcterms:modified xsi:type="dcterms:W3CDTF">2016-11-14T00:52:00Z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